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003366"/>
          <w:sz w:val="40"/>
          <w:szCs w:val="40"/>
        </w:rPr>
        <w:t xml:space="preserve">Modul L – Betrieb und Sicherheit vernetzter Systeme (LF11)</w:t>
      </w:r>
    </w:p>
    <w:p>
      <w:pPr>
        <w:spacing w:after="40"/>
      </w:pPr>
      <w:r>
        <w:rPr>
          <w:rFonts w:ascii="Calibri" w:cs="Calibri" w:eastAsia="Calibri" w:hAnsi="Calibri"/>
          <w:color w:val="0066AA"/>
          <w:sz w:val="26"/>
          <w:szCs w:val="26"/>
        </w:rPr>
        <w:t xml:space="preserve">Übersicht und Wochenraster – Hälfte 2 (Wochen 6–11, mit M4-Server)</w:t>
      </w:r>
    </w:p>
    <w:p>
      <w:pPr>
        <w:pBdr>
          <w:bottom w:val="single" w:color="F0A500" w:sz="12"/>
        </w:pBdr>
        <w:spacing w:after="24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FISI · 6 Teilnehmende (3 Gruppen à 2) · Stand: 02.07.2026 · Entwurf zur Kursplanung</w:t>
      </w:r>
    </w:p>
    <w:p>
      <w:pPr>
        <w:pStyle w:val="Heading1"/>
        <w:pBdr>
          <w:bottom w:val="single" w:color="F0A500" w:sz="8"/>
        </w:pBdr>
        <w:spacing w:after="160" w:before="36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1. Konzept der Hälfte 2</w:t>
      </w:r>
    </w:p>
    <w:p>
      <w:pPr>
        <w:spacing w:after="120" w:line="276"/>
      </w:pPr>
      <w:r>
        <w:rPr>
          <w:rFonts w:ascii="Calibri" w:cs="Calibri" w:eastAsia="Calibri" w:hAnsi="Calibri"/>
          <w:b w:val="false"/>
          <w:bCs w:val="false"/>
          <w:color w:val="222222"/>
          <w:sz w:val="22"/>
          <w:szCs w:val="22"/>
        </w:rPr>
        <w:t xml:space="preserve">Hälfte 2 überführt die Konzepte der Wochen 1–5 in den Aufbau und Betrieb einer realen Umgebung. Leitprinzip: Alles, was in Hälfte 1 gerechnet und geplant wurde, wird jetzt gebaut, gemessen und dokumentiert. Die in Woche 2 erstellten Backupkonzepte werden mit dem Proxmox Backup Server umgesetzt und die RTO-Werte messtechnisch verifiziert; die Härtungskonzepte aus Woche 4 werden am echten Switch und an echten Windows-Servern angewendet. Abschluss ist ein Capstone, in dem jede Gruppe ihre Umgebung als vollständiges Betriebshandbuch dokumentiert.</w:t>
      </w:r>
    </w:p>
    <w:tbl>
      <w:tblPr>
        <w:tblW w:type="dxa" w:w="9026"/>
        <w:tblBorders>
          <w:top w:val="single" w:color="0066AA" w:sz="12"/>
          <w:left w:val="single" w:color="0066AA" w:sz="12"/>
          <w:bottom w:val="single" w:color="0066AA" w:sz="12"/>
          <w:right w:val="single" w:color="0066AA" w:sz="12"/>
          <w:insideH w:val="none" w:color="FFFFFF" w:sz="0"/>
          <w:insideV w:val="none" w:color="FFFFFF" w:sz="0"/>
        </w:tblBorders>
      </w:tblPr>
      <w:tblGrid>
        <w:gridCol w:w="9026"/>
      </w:tblGrid>
      <w:tr>
        <w:tc>
          <w:tcPr>
            <w:tcW w:type="dxa" w:w="9026"/>
            <w:shd w:fill="EEF5FB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Gruppenkonzept: 3 Gruppen à 2 Teilnehmende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Zweierteams stellen sicher, dass niemand im Windschatten arbeitet – bei Dreierteams sitzt erfahrungsgemäß einer daneben. Jede Gruppe erhält einen eigenen Proxmox-Pool mit hartem RAM- und Storage-Quota sowie ein eigenes VLAN auf dem FS-Backbone. Die Pool-/Berechtigungsstruktur ist selbst Lehrinhalt (Mandantenfähigkeit, Least Privilege).</w:t>
            </w:r>
          </w:p>
        </w:tc>
      </w:tr>
    </w:tbl>
    <w:p>
      <w:pPr>
        <w:pStyle w:val="Heading1"/>
        <w:pBdr>
          <w:bottom w:val="single" w:color="F0A500" w:sz="8"/>
        </w:pBdr>
        <w:spacing w:after="160" w:before="36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2. Hardware-Basis und Rollen</w:t>
      </w:r>
    </w:p>
    <w:tbl>
      <w:tblPr>
        <w:tblW w:type="dxa" w:w="9026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2400"/>
        <w:gridCol w:w="3400"/>
        <w:gridCol w:w="3226"/>
      </w:tblGrid>
      <w:tr>
        <w:trPr>
          <w:tblHeader/>
        </w:trPr>
        <w:tc>
          <w:tcPr>
            <w:tcW w:type="dxa" w:w="2400"/>
            <w:shd w:fill="003366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Komponente</w:t>
            </w:r>
          </w:p>
        </w:tc>
        <w:tc>
          <w:tcPr>
            <w:tcW w:type="dxa" w:w="3400"/>
            <w:shd w:fill="003366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Ausstattung / Eigenschaften</w:t>
            </w:r>
          </w:p>
        </w:tc>
        <w:tc>
          <w:tcPr>
            <w:tcW w:type="dxa" w:w="3226"/>
            <w:shd w:fill="003366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Rolle im Lab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0"/>
                <w:szCs w:val="20"/>
              </w:rPr>
              <w:t xml:space="preserve">Cisco UCS M4</w:t>
            </w:r>
          </w:p>
        </w:tc>
        <w:tc>
          <w:tcPr>
            <w:tcW w:type="dxa" w:w="3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80 GB RAM, 4× 600 GB SAS-HDD (10k), 1 TB SSD (Beschaffung geplant, siehe Risiken)</w:t>
            </w:r>
          </w:p>
        </w:tc>
        <w:tc>
          <w:tcPr>
            <w:tcW w:type="dxa" w:w="32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Proxmox-VE-Host: nested Cluster, PBS, Graylog, Gruppen-VMs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0"/>
                <w:szCs w:val="20"/>
              </w:rPr>
              <w:t xml:space="preserve">FS S3900-48T6S-R</w:t>
            </w:r>
          </w:p>
        </w:tc>
        <w:tc>
          <w:tcPr>
            <w:tcW w:type="dxa" w:w="3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48× GbE, 6× 10G SFP+, L2+/L3-Lite, Cisco-ähnliche CLI, SNMP v1/v2c/v3, SSH, 802.1X, ACLs, DHCP Snooping</w:t>
            </w:r>
          </w:p>
        </w:tc>
        <w:tc>
          <w:tcPr>
            <w:tcW w:type="dxa" w:w="32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Backbone: Gruppen-VLANs, SNMP-Monitoring-Ziel, Syslog-Quelle. Härtung NUR angeleitet (Plenum)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0"/>
                <w:szCs w:val="20"/>
              </w:rPr>
              <w:t xml:space="preserve">Netgear-Switch</w:t>
            </w:r>
          </w:p>
        </w:tc>
        <w:tc>
          <w:tcPr>
            <w:tcW w:type="dxa" w:w="3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Modell offen – Eignung ungeklärt (managed?)</w:t>
            </w:r>
          </w:p>
        </w:tc>
        <w:tc>
          <w:tcPr>
            <w:tcW w:type="dxa" w:w="32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Kandidat: Experimentier-/Opfergerät für freie Härtungsversuche. Entfällt, falls unmanaged</w:t>
            </w:r>
          </w:p>
        </w:tc>
      </w:tr>
    </w:tbl>
    <w:p>
      <w:pPr>
        <w:spacing w:after="60" w:line="276"/>
      </w:pPr>
      <w:r>
        <w:rPr>
          <w:rFonts w:ascii="Calibri" w:cs="Calibri" w:eastAsia="Calibri" w:hAnsi="Calibri"/>
          <w:b w:val="false"/>
          <w:bCs w:val="false"/>
          <w:color w:val="222222"/>
          <w:sz w:val="22"/>
          <w:szCs w:val="22"/>
        </w:rPr>
        <w:t xml:space="preserve"/>
      </w:r>
    </w:p>
    <w:tbl>
      <w:tblPr>
        <w:tblW w:type="dxa" w:w="9026"/>
        <w:tblBorders>
          <w:top w:val="single" w:color="F0A500" w:sz="12"/>
          <w:left w:val="single" w:color="F0A500" w:sz="12"/>
          <w:bottom w:val="single" w:color="F0A500" w:sz="12"/>
          <w:right w:val="single" w:color="F0A500" w:sz="12"/>
          <w:insideH w:val="none" w:color="FFFFFF" w:sz="0"/>
          <w:insideV w:val="none" w:color="FFFFFF" w:sz="0"/>
        </w:tblBorders>
      </w:tblPr>
      <w:tblGrid>
        <w:gridCol w:w="9026"/>
      </w:tblGrid>
      <w:tr>
        <w:tc>
          <w:tcPr>
            <w:tcW w:type="dxa" w:w="9026"/>
            <w:shd w:fill="FFF4DC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Dozenten-Hinweis: Der FS-Switch ist Backbone – kein Spielgerät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Wenn sich eine Gruppe beim Härten selbst aussperrt oder das Management-VLAN fehlkonfiguriert, steht das Lab für alle. Deshalb: Härtungsübungen am FS ausschließlich als angeleitete Plenums-Übung mit Konsolenkabel in Reichweite und Config-Backup vor jeder Änderung. Freies Experimentieren nur am Netgear – sofern dieser managed ist (Modell klären).</w:t>
            </w:r>
          </w:p>
        </w:tc>
      </w:tr>
    </w:tbl>
    <w:p>
      <w:pPr>
        <w:spacing w:after="60" w:line="276"/>
      </w:pPr>
      <w:r>
        <w:rPr>
          <w:rFonts w:ascii="Calibri" w:cs="Calibri" w:eastAsia="Calibri" w:hAnsi="Calibri"/>
          <w:b w:val="false"/>
          <w:bCs w:val="false"/>
          <w:color w:val="222222"/>
          <w:sz w:val="22"/>
          <w:szCs w:val="22"/>
        </w:rPr>
        <w:t xml:space="preserve"/>
      </w:r>
    </w:p>
    <w:tbl>
      <w:tblPr>
        <w:tblW w:type="dxa" w:w="9026"/>
        <w:tblBorders>
          <w:top w:val="single" w:color="0066AA" w:sz="12"/>
          <w:left w:val="single" w:color="0066AA" w:sz="12"/>
          <w:bottom w:val="single" w:color="0066AA" w:sz="12"/>
          <w:right w:val="single" w:color="0066AA" w:sz="12"/>
          <w:insideH w:val="none" w:color="FFFFFF" w:sz="0"/>
          <w:insideV w:val="none" w:color="FFFFFF" w:sz="0"/>
        </w:tblBorders>
      </w:tblPr>
      <w:tblGrid>
        <w:gridCol w:w="9026"/>
      </w:tblGrid>
      <w:tr>
        <w:tc>
          <w:tcPr>
            <w:tcW w:type="dxa" w:w="9026"/>
            <w:shd w:fill="EEF5FB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Didaktischer Gewinn: Cisco-nahe CLI am FS S3900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Die S3900-CLI folgt weitgehend der Cisco-Syntax (z. B. snmp-server community, snmp-server usm-user für SNMPv3, dot1x für 802.1X). Die Härtungsübung in Woche 8 findet damit an echter Hardware mit prüfungsnaher Syntax statt. Packet Tracer bleibt für Routing-Szenarien und den AP2-Klassiker VLAN-Hopping (Winter 2024/25) im Plan.</w:t>
            </w:r>
          </w:p>
        </w:tc>
      </w:tr>
    </w:tbl>
    <w:p>
      <w:pPr>
        <w:pStyle w:val="Heading1"/>
        <w:pBdr>
          <w:bottom w:val="single" w:color="F0A500" w:sz="8"/>
        </w:pBdr>
        <w:spacing w:after="160" w:before="36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3. Ressourcenplan M4 (80 GB RAM)</w:t>
      </w:r>
    </w:p>
    <w:tbl>
      <w:tblPr>
        <w:tblW w:type="dxa" w:w="9026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3200"/>
        <w:gridCol w:w="1600"/>
        <w:gridCol w:w="4226"/>
      </w:tblGrid>
      <w:tr>
        <w:trPr>
          <w:tblHeader/>
        </w:trPr>
        <w:tc>
          <w:tcPr>
            <w:tcW w:type="dxa" w:w="3200"/>
            <w:shd w:fill="003366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Verbraucher</w:t>
            </w:r>
          </w:p>
        </w:tc>
        <w:tc>
          <w:tcPr>
            <w:tcW w:type="dxa" w:w="1600"/>
            <w:shd w:fill="003366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RAM</w:t>
            </w:r>
          </w:p>
        </w:tc>
        <w:tc>
          <w:tcPr>
            <w:tcW w:type="dxa" w:w="4226"/>
            <w:shd w:fill="003366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Anmerkung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Proxmox-Host (Hypervisor)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~4 GB</w:t>
            </w:r>
          </w:p>
        </w:tc>
        <w:tc>
          <w:tcPr>
            <w:tcW w:type="dxa" w:w="42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ZFS-ARC begrenzen (zfs_arc_max), sonst frisst ZFS den Rest</w:t>
            </w:r>
          </w:p>
        </w:tc>
      </w:tr>
      <w:tr>
        <w:tc>
          <w:tcPr>
            <w:tcW w:type="dxa" w:w="3200"/>
            <w:shd w:fill="EEF5F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Nested Cluster (3× Proxmox-VM)</w:t>
            </w:r>
          </w:p>
        </w:tc>
        <w:tc>
          <w:tcPr>
            <w:tcW w:type="dxa" w:w="1600"/>
            <w:shd w:fill="EEF5F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3× 10 GB</w:t>
            </w:r>
          </w:p>
        </w:tc>
        <w:tc>
          <w:tcPr>
            <w:tcW w:type="dxa" w:w="4226"/>
            <w:shd w:fill="EEF5F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Quorum-fähiger 3-Node-Cluster; HA und Live-Migration demonstrierbar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Proxmox Backup Server (VM)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6 GB</w:t>
            </w:r>
          </w:p>
        </w:tc>
        <w:tc>
          <w:tcPr>
            <w:tcW w:type="dxa" w:w="42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Datastore auf HDD-Pool</w:t>
            </w:r>
          </w:p>
        </w:tc>
      </w:tr>
      <w:tr>
        <w:tc>
          <w:tcPr>
            <w:tcW w:type="dxa" w:w="3200"/>
            <w:shd w:fill="EEF5F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Graylog-SIEM (VM)</w:t>
            </w:r>
          </w:p>
        </w:tc>
        <w:tc>
          <w:tcPr>
            <w:tcW w:type="dxa" w:w="1600"/>
            <w:shd w:fill="EEF5F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10 GB</w:t>
            </w:r>
          </w:p>
        </w:tc>
        <w:tc>
          <w:tcPr>
            <w:tcW w:type="dxa" w:w="4226"/>
            <w:shd w:fill="EEF5F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Bewusst Graylog statt Wazuh (Ressourcenbedarf)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Gruppen-Pools (3 Gruppen à 2 TN)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3× 8 GB</w:t>
            </w:r>
          </w:p>
        </w:tc>
        <w:tc>
          <w:tcPr>
            <w:tcW w:type="dxa" w:w="42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Je Gruppe: 1× Windows Server 2025 + 1 Client/Member; hartes Quota im Pool</w:t>
            </w:r>
          </w:p>
        </w:tc>
      </w:tr>
      <w:tr>
        <w:tc>
          <w:tcPr>
            <w:tcW w:type="dxa" w:w="3200"/>
            <w:shd w:fill="EEF5F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Reserve</w:t>
            </w:r>
          </w:p>
        </w:tc>
        <w:tc>
          <w:tcPr>
            <w:tcW w:type="dxa" w:w="1600"/>
            <w:shd w:fill="EEF5F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~6 GB</w:t>
            </w:r>
          </w:p>
        </w:tc>
        <w:tc>
          <w:tcPr>
            <w:tcW w:type="dxa" w:w="4226"/>
            <w:shd w:fill="EEF5F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Puffer für Templates, Spitzen, Dozenten-VM</w:t>
            </w:r>
          </w:p>
        </w:tc>
      </w:tr>
    </w:tbl>
    <w:p>
      <w:pPr>
        <w:spacing w:after="120" w:line="276"/>
      </w:pPr>
      <w:r>
        <w:rPr>
          <w:rFonts w:ascii="Calibri" w:cs="Calibri" w:eastAsia="Calibri" w:hAnsi="Calibri"/>
          <w:b w:val="false"/>
          <w:bCs w:val="false"/>
          <w:color w:val="222222"/>
          <w:sz w:val="22"/>
          <w:szCs w:val="22"/>
        </w:rPr>
        <w:t xml:space="preserve"/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Storage-Architektur (Tiering)</w:t>
      </w:r>
    </w:p>
    <w:tbl>
      <w:tblPr>
        <w:tblW w:type="dxa" w:w="9026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2800"/>
        <w:gridCol w:w="2000"/>
        <w:gridCol w:w="4226"/>
      </w:tblGrid>
      <w:tr>
        <w:trPr>
          <w:tblHeader/>
        </w:trPr>
        <w:tc>
          <w:tcPr>
            <w:tcW w:type="dxa" w:w="2800"/>
            <w:shd w:fill="003366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Pool / Bereich</w:t>
            </w:r>
          </w:p>
        </w:tc>
        <w:tc>
          <w:tcPr>
            <w:tcW w:type="dxa" w:w="2000"/>
            <w:shd w:fill="003366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Größe</w:t>
            </w:r>
          </w:p>
        </w:tc>
        <w:tc>
          <w:tcPr>
            <w:tcW w:type="dxa" w:w="4226"/>
            <w:shd w:fill="003366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Inhalt</w:t>
            </w:r>
          </w:p>
        </w:tc>
      </w:tr>
      <w:tr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0"/>
                <w:szCs w:val="20"/>
              </w:rPr>
              <w:t xml:space="preserve">SSD-Pool (ZFS, single)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1 TB</w:t>
            </w:r>
          </w:p>
        </w:tc>
        <w:tc>
          <w:tcPr>
            <w:tcW w:type="dxa" w:w="42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IOPS-lastige VMs – ungeschützt, daher PBS-Sicherung ab Tag 1 (bewusster Lehrinhalt: RPO/RTO gelebt)</w:t>
            </w:r>
          </w:p>
        </w:tc>
      </w:tr>
      <w:tr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  · Nested Cluster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~200 GB</w:t>
            </w:r>
          </w:p>
        </w:tc>
        <w:tc>
          <w:tcPr>
            <w:tcW w:type="dxa" w:w="42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3 Proxmox-Nodes inkl. Test-VMs</w:t>
            </w:r>
          </w:p>
        </w:tc>
      </w:tr>
      <w:tr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  · Graylog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~150 GB</w:t>
            </w:r>
          </w:p>
        </w:tc>
        <w:tc>
          <w:tcPr>
            <w:tcW w:type="dxa" w:w="42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Indizes mit Retention-Policy (Rotation als Lehrinhalt)</w:t>
            </w:r>
          </w:p>
        </w:tc>
      </w:tr>
      <w:tr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  · Gruppen-Pools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3× 100 GB</w:t>
            </w:r>
          </w:p>
        </w:tc>
        <w:tc>
          <w:tcPr>
            <w:tcW w:type="dxa" w:w="42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Windows Server + Client je Gruppe, hartes Quota</w:t>
            </w:r>
          </w:p>
        </w:tc>
      </w:tr>
      <w:tr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  · Reserve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~250 GB</w:t>
            </w:r>
          </w:p>
        </w:tc>
        <w:tc>
          <w:tcPr>
            <w:tcW w:type="dxa" w:w="42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ZFS nie über ~80 % Füllstand fahren – ebenfalls Lehrinhalt</w:t>
            </w:r>
          </w:p>
        </w:tc>
      </w:tr>
      <w:tr>
        <w:tc>
          <w:tcPr>
            <w:tcW w:type="dxa" w:w="2800"/>
            <w:shd w:fill="EEF5F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0"/>
                <w:szCs w:val="20"/>
              </w:rPr>
              <w:t xml:space="preserve">HDD-Pool (ZFS RAID 10)</w:t>
            </w:r>
          </w:p>
        </w:tc>
        <w:tc>
          <w:tcPr>
            <w:tcW w:type="dxa" w:w="2000"/>
            <w:shd w:fill="EEF5F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~1,2 TB netto</w:t>
            </w:r>
          </w:p>
        </w:tc>
        <w:tc>
          <w:tcPr>
            <w:tcW w:type="dxa" w:w="4226"/>
            <w:shd w:fill="EEF5F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PBS-Datastore (~800 GB), ISOs, Templates, inaktive VMs</w:t>
            </w:r>
          </w:p>
        </w:tc>
      </w:tr>
    </w:tbl>
    <w:p>
      <w:pPr>
        <w:spacing w:after="60" w:line="276"/>
      </w:pPr>
      <w:r>
        <w:rPr>
          <w:rFonts w:ascii="Calibri" w:cs="Calibri" w:eastAsia="Calibri" w:hAnsi="Calibri"/>
          <w:b w:val="false"/>
          <w:bCs w:val="false"/>
          <w:color w:val="222222"/>
          <w:sz w:val="22"/>
          <w:szCs w:val="22"/>
        </w:rPr>
        <w:t xml:space="preserve"/>
      </w:r>
    </w:p>
    <w:tbl>
      <w:tblPr>
        <w:tblW w:type="dxa" w:w="9026"/>
        <w:tblBorders>
          <w:top w:val="single" w:color="F0A500" w:sz="12"/>
          <w:left w:val="single" w:color="F0A500" w:sz="12"/>
          <w:bottom w:val="single" w:color="F0A500" w:sz="12"/>
          <w:right w:val="single" w:color="F0A500" w:sz="12"/>
          <w:insideH w:val="none" w:color="FFFFFF" w:sz="0"/>
          <w:insideV w:val="none" w:color="FFFFFF" w:sz="0"/>
        </w:tblBorders>
      </w:tblPr>
      <w:tblGrid>
        <w:gridCol w:w="9026"/>
      </w:tblGrid>
      <w:tr>
        <w:tc>
          <w:tcPr>
            <w:tcW w:type="dxa" w:w="9026"/>
            <w:shd w:fill="FFF4DC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Dozenten-Hinweis: RAID 10 statt RAID 5 auf den HDDs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Bei 10k-Spindeln ist die Schreiblast der begrenzende Faktor; RAID 5 würde PBS-Backups und parallele VM-Last quälend machen und beim Rebuild einer 600er ein reales Zeitfenster-Risiko schaffen. Diese Entscheidung ist zugleich das Einstiegs-Lab der Woche 6: Die Gruppen begründen RAID 10 vs. RAID 5 mit den Rechenwerkzeugen aus Woche 1 – inklusive der Transferfrage, warum die SSD nicht mit ins RAID kommt.</w:t>
            </w:r>
          </w:p>
        </w:tc>
      </w:tr>
    </w:tbl>
    <w:p>
      <w:pPr>
        <w:pStyle w:val="Heading1"/>
        <w:pBdr>
          <w:bottom w:val="single" w:color="F0A500" w:sz="8"/>
        </w:pBdr>
        <w:spacing w:after="160" w:before="36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4. Wochenraster Hälfte 2</w:t>
      </w:r>
    </w:p>
    <w:tbl>
      <w:tblPr>
        <w:tblW w:type="dxa" w:w="9026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900"/>
        <w:gridCol w:w="2100"/>
        <w:gridCol w:w="3226"/>
        <w:gridCol w:w="2800"/>
      </w:tblGrid>
      <w:tr>
        <w:trPr>
          <w:tblHeader/>
        </w:trPr>
        <w:tc>
          <w:tcPr>
            <w:tcW w:type="dxa" w:w="900"/>
            <w:shd w:fill="003366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Woche</w:t>
            </w:r>
          </w:p>
        </w:tc>
        <w:tc>
          <w:tcPr>
            <w:tcW w:type="dxa" w:w="2100"/>
            <w:shd w:fill="003366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Thema / Etappe</w:t>
            </w:r>
          </w:p>
        </w:tc>
        <w:tc>
          <w:tcPr>
            <w:tcW w:type="dxa" w:w="3226"/>
            <w:shd w:fill="003366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Schwerpunkte</w:t>
            </w:r>
          </w:p>
        </w:tc>
        <w:tc>
          <w:tcPr>
            <w:tcW w:type="dxa" w:w="2800"/>
            <w:shd w:fill="003366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Praxisanteil</w:t>
            </w:r>
          </w:p>
        </w:tc>
      </w:tr>
      <w:tr>
        <w:tc>
          <w:tcPr>
            <w:tcW w:type="dxa" w:w="9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0"/>
                <w:szCs w:val="20"/>
              </w:rPr>
              <w:t xml:space="preserve">6</w:t>
            </w:r>
          </w:p>
        </w:tc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E6 – Virtualisierungsplattform</w:t>
            </w:r>
          </w:p>
        </w:tc>
        <w:tc>
          <w:tcPr>
            <w:tcW w:type="dxa" w:w="32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RAID am Controller (10 vs. 5 begründen), Proxmox-Installation, Storage-Tiering SSD/HDD, VLAN-Anbindung an FS-Backbone</w:t>
            </w:r>
          </w:p>
        </w:tc>
        <w:tc>
          <w:tcPr>
            <w:tcW w:type="dxa" w:w="2800"/>
            <w:shd w:fill="EEF5F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RAID-Lab am echten Controller, Proxmox-Setup, ZFS-Pools anlegen, Gruppen-VLANs auf dem FS konfigurieren (angeleitet)</w:t>
            </w:r>
          </w:p>
        </w:tc>
      </w:tr>
      <w:tr>
        <w:tc>
          <w:tcPr>
            <w:tcW w:type="dxa" w:w="9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0"/>
                <w:szCs w:val="20"/>
              </w:rPr>
              <w:t xml:space="preserve">7</w:t>
            </w:r>
          </w:p>
        </w:tc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E7 – Cluster, HA &amp; Backup real</w:t>
            </w:r>
          </w:p>
        </w:tc>
        <w:tc>
          <w:tcPr>
            <w:tcW w:type="dxa" w:w="32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Nested 3-Node-Cluster, Quorum, HA-Regeln, Live-Migration, Pools/Berechtigungen, PBS</w:t>
            </w:r>
          </w:p>
        </w:tc>
        <w:tc>
          <w:tcPr>
            <w:tcW w:type="dxa" w:w="2800"/>
            <w:shd w:fill="EEF5F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Cluster-Aufbau, Node-Ausfall simulieren, PBS-Backup/Restore mit RTO-Messung gegen Woche-2-Konzepte</w:t>
            </w:r>
          </w:p>
        </w:tc>
      </w:tr>
      <w:tr>
        <w:tc>
          <w:tcPr>
            <w:tcW w:type="dxa" w:w="9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0"/>
                <w:szCs w:val="20"/>
              </w:rPr>
              <w:t xml:space="preserve">8</w:t>
            </w:r>
          </w:p>
        </w:tc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E8 – Härtung real</w:t>
            </w:r>
          </w:p>
        </w:tc>
        <w:tc>
          <w:tcPr>
            <w:tcW w:type="dxa" w:w="32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Windows-Server-2025-Härtung (Checkliste), Switch-Härtung mit Cisco-naher Syntax, Patch-/Change-Management</w:t>
            </w:r>
          </w:p>
        </w:tc>
        <w:tc>
          <w:tcPr>
            <w:tcW w:type="dxa" w:w="2800"/>
            <w:shd w:fill="EEF5F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Härtungscheckliste in Gruppen-VMs, FS-Härtung als Plenums-Übung (SSH-only, SNMPv3, ungenutzte Ports, Mgmt-VLAN), PT-Vergleich VLAN-Hopping</w:t>
            </w:r>
          </w:p>
        </w:tc>
      </w:tr>
      <w:tr>
        <w:tc>
          <w:tcPr>
            <w:tcW w:type="dxa" w:w="9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0"/>
                <w:szCs w:val="20"/>
              </w:rPr>
              <w:t xml:space="preserve">9</w:t>
            </w:r>
          </w:p>
        </w:tc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E9 – SIEM &amp; Incident Response</w:t>
            </w:r>
          </w:p>
        </w:tc>
        <w:tc>
          <w:tcPr>
            <w:tcW w:type="dxa" w:w="32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Graylog-Architektur, Quellen-Anbindung (Windows/Linux/Switch), Korrelation, IR-Phasen, DSGVO Art. 33 / NIS2</w:t>
            </w:r>
          </w:p>
        </w:tc>
        <w:tc>
          <w:tcPr>
            <w:tcW w:type="dxa" w:w="2800"/>
            <w:shd w:fill="EEF5F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Graylog-Aufbau, Angriffe live provozieren und wiederfinden, Rollenspiel Ransomware-Fall (Modul-G-Format)</w:t>
            </w:r>
          </w:p>
        </w:tc>
      </w:tr>
      <w:tr>
        <w:tc>
          <w:tcPr>
            <w:tcW w:type="dxa" w:w="9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0"/>
                <w:szCs w:val="20"/>
              </w:rPr>
              <w:t xml:space="preserve">10–11</w:t>
            </w:r>
          </w:p>
        </w:tc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E10 – Capstone &amp; Klausur</w:t>
            </w:r>
          </w:p>
        </w:tc>
        <w:tc>
          <w:tcPr>
            <w:tcW w:type="dxa" w:w="32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Betriebshandbuch je Gruppe: Storage-/Netzplan, Backupkonzept mit Messwerten, Härtungsnachweis, Monitoringplan, Notfallkapitel</w:t>
            </w:r>
          </w:p>
        </w:tc>
        <w:tc>
          <w:tcPr>
            <w:tcW w:type="dxa" w:w="2800"/>
            <w:shd w:fill="EEF5F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Fertigstellung der Gruppen-Umgebung, Abschlusspräsentation (Richtlinie Herbst 2024 + Handout), Klausur 100 P., Puffer</w:t>
            </w:r>
          </w:p>
        </w:tc>
      </w:tr>
    </w:tbl>
    <w:p>
      <w:pPr>
        <w:pStyle w:val="Heading1"/>
        <w:pBdr>
          <w:bottom w:val="single" w:color="F0A500" w:sz="8"/>
        </w:pBdr>
        <w:spacing w:after="160" w:before="36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5. Etappen im Detail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Woche 6 · E6 – Virtualisierungsplattform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Lernziele: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Die Teilnehmenden konfigurieren ein RAID am Hardware-Controller und begründen die Level-Wahl, installieren Proxmox VE, richten ein Storage-Tiering aus SSD- und HDD-Pool ein und binden den Host per VLAN-Trunk an den Backbone an.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Tag 1: RAID-Lab am UCS-Controller (RAID 10 konfigurieren, Entscheidung dokumentieren), SSD-Einbau/JBOD-Prüfung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Tag 2: Proxmox-Installation, ZFS-Pools (SSD single / HDD-Mirror-Paare), ARC-Limit setzen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Tag 3: Netzdesign – Gruppen-VLANs auf dem FS anlegen (Plenum), Trunk zum M4, Bridge-Konfiguration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Tag 4: Pools, Benutzer, Berechtigungen, Quotas je Gruppe; erste Test-VMs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Tag 5: Dokumentation Storage-/Netzplan (fließt ins Betriebshandbuch) + Freitags-Schleife AP2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Woche 7 · E7 – Cluster, HA &amp; Backup real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Lernziele: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Die Teilnehmenden bauen einen quorumfähigen 3-Node-Cluster (nested), konfigurieren HA-Regeln, führen Live-Migrationen durch und verifizieren ihr Backupkonzept aus Woche 2 messtechnisch mit dem Proxmox Backup Server.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Tag 1–2: Nested Cluster aufbauen, Quorum verstehen, Node-Ausfall simulieren, HA beobachten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Tag 3: PBS installieren, Datastore auf HDD-Pool, Sicherungsjobs nach Gruppenkonzept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Tag 4: Restore-Messungen – RTO real vs. RTO geplant (Messprotokoll), Deduplizierung bewerten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Tag 5: Ergebnissicherung, Konzept-Review gegen Woche 2 + Freitags-Schleife AP2</w:t>
      </w:r>
    </w:p>
    <w:tbl>
      <w:tblPr>
        <w:tblW w:type="dxa" w:w="9026"/>
        <w:tblBorders>
          <w:top w:val="single" w:color="F0A500" w:sz="12"/>
          <w:left w:val="single" w:color="F0A500" w:sz="12"/>
          <w:bottom w:val="single" w:color="F0A500" w:sz="12"/>
          <w:right w:val="single" w:color="F0A500" w:sz="12"/>
          <w:insideH w:val="none" w:color="FFFFFF" w:sz="0"/>
          <w:insideV w:val="none" w:color="FFFFFF" w:sz="0"/>
        </w:tblBorders>
      </w:tblPr>
      <w:tblGrid>
        <w:gridCol w:w="9026"/>
      </w:tblGrid>
      <w:tr>
        <w:tc>
          <w:tcPr>
            <w:tcW w:type="dxa" w:w="9026"/>
            <w:shd w:fill="FFF4DC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Dozenten-Hinweis: Nested statt Blech-Cluster – Erwartung steuern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Mit einem einzelnen M4 ist kein physischer HA-Cluster möglich (Quorum braucht drei Nodes). Der nested Cluster bildet alle Konzepte vollständig ab – nur der 'Stecker ziehen'-Moment fehlt. Das den Teilnehmenden transparent machen: Der Unterschied zwischen Lab-Abstraktion und Produktivaufbau ist selbst eine prüfungsrelevante Einordnung.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Woche 8 · E8 – Härtung real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Lernziele: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Die Teilnehmenden härten Windows Server 2025 anhand einer Checkliste, sichern den Management-Zugriff eines Switches ab (SSH-only, SNMPv3, ungenutzte Ports, Management-VLAN) und ordnen Patch- und Change-Management-Prozesse ein.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Tag 1–2: Windows-Server-Härtung in den Gruppen-VMs (Checkliste, knüpft an Server-2025-Dokument aus LF3 an)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Tag 3: FS-Härtung als Plenums-Übung mit Cisco-naher Syntax; Config-Backup vorher/nachher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Tag 4: Packet-Tracer-Vergleich – VLAN-Hopping-Szenario (AP2 Winter 2024/25), 802.1X-Einordnung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Tag 5: Change-Dokumentation der Härtungsmaßnahmen (Betriebshandbuch) + Freitags-Schleife AP2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Woche 9 · E9 – SIEM &amp; Incident Response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Lernziele: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Die Teilnehmenden bauen ein zentrales Log-Management mit Graylog auf, binden Windows-, Linux- und Switch-Quellen an, rekonstruieren eine Angriffskette und wenden die Incident-Response-Phasen inklusive Meldepflichten an.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Tag 1–2: Graylog-VM aufsetzen, Inputs (Syslog vom FS, Windows via Sidecar/NXLog, Linux), Streams und Alerts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Tag 3: Angriffe provozieren (Fehllogins, Portscan) und im SIEM wiederfinden; Korrelationsübung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Tag 4: IR-Phasen, DSGVO Art. 33 / NIS2-Einordnung, Notfallkapitel fürs Betriebshandbuch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Tag 5: Rollenspiel Ransomware-Fall (Teil A schriftlich, Teil B Rollenspiel – Modul-G-Format) + Freitags-Schleife AP2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Wochen 10–11 · E10 – Capstone &amp; Klausur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Lernziele: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Die Teilnehmenden dokumentieren ihre Umgebung als vollständiges Betriebshandbuch, präsentieren es nach Gestaltungsrichtlinie und weisen den Gesamtstoff des Moduls in einer Klausur nach.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Betriebshandbuch je Gruppe: Storage-/Netzplan, Backupkonzept mit Messwerten, Härtungsnachweis, Monitoringplan, Notfallkapitel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Abschlusspräsentation nach Richtlinie Herbst 2024 (inkl. Handout-Pflicht), Bewertungsbogen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Klausur 100 Punkte mit Notenschlüssel (Hausnorm), Musterlösung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Puffer für Nacharbeiten, AP2-Wiederholung, Lab-Rückbau</w:t>
      </w:r>
    </w:p>
    <w:p>
      <w:pPr>
        <w:pStyle w:val="Heading1"/>
        <w:pBdr>
          <w:bottom w:val="single" w:color="F0A500" w:sz="8"/>
        </w:pBdr>
        <w:spacing w:after="160" w:before="36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6. Materialscoping und Produktionsliste</w:t>
      </w:r>
    </w:p>
    <w:tbl>
      <w:tblPr>
        <w:tblW w:type="dxa" w:w="9026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900"/>
        <w:gridCol w:w="2500"/>
        <w:gridCol w:w="5626"/>
      </w:tblGrid>
      <w:tr>
        <w:trPr>
          <w:tblHeader/>
        </w:trPr>
        <w:tc>
          <w:tcPr>
            <w:tcW w:type="dxa" w:w="900"/>
            <w:shd w:fill="003366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Woche</w:t>
            </w:r>
          </w:p>
        </w:tc>
        <w:tc>
          <w:tcPr>
            <w:tcW w:type="dxa" w:w="2500"/>
            <w:shd w:fill="003366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Materialtyp</w:t>
            </w:r>
          </w:p>
        </w:tc>
        <w:tc>
          <w:tcPr>
            <w:tcW w:type="dxa" w:w="5626"/>
            <w:shd w:fill="003366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Dateien (geplant)</w:t>
            </w:r>
          </w:p>
        </w:tc>
      </w:tr>
      <w:tr>
        <w:tc>
          <w:tcPr>
            <w:tcW w:type="dxa" w:w="9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0"/>
                <w:szCs w:val="20"/>
              </w:rPr>
              <w:t xml:space="preserve">6</w:t>
            </w:r>
          </w:p>
        </w:tc>
        <w:tc>
          <w:tcPr>
            <w:tcW w:type="dxa" w:w="2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Lab-Set</w:t>
            </w:r>
          </w:p>
        </w:tc>
        <w:tc>
          <w:tcPr>
            <w:tcW w:type="dxa" w:w="56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Schlanke Einführungs-PPTX + Handout, Lab-Aufgabenheft Plattformaufbau + Dozenten-Lösungsheft, Netz-/VLAN-Plan (SVG/PDF)</w:t>
            </w:r>
          </w:p>
        </w:tc>
      </w:tr>
      <w:tr>
        <w:tc>
          <w:tcPr>
            <w:tcW w:type="dxa" w:w="9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0"/>
                <w:szCs w:val="20"/>
              </w:rPr>
              <w:t xml:space="preserve">7</w:t>
            </w:r>
          </w:p>
        </w:tc>
        <w:tc>
          <w:tcPr>
            <w:tcW w:type="dxa" w:w="2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Lab-Set</w:t>
            </w:r>
          </w:p>
        </w:tc>
        <w:tc>
          <w:tcPr>
            <w:tcW w:type="dxa" w:w="56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Lab-Aufgabenheft Cluster/HA/PBS + Lösungsheft, Messprotokoll-Vorlage RTO-Verifikation</w:t>
            </w:r>
          </w:p>
        </w:tc>
      </w:tr>
      <w:tr>
        <w:tc>
          <w:tcPr>
            <w:tcW w:type="dxa" w:w="9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0"/>
                <w:szCs w:val="20"/>
              </w:rPr>
              <w:t xml:space="preserve">8</w:t>
            </w:r>
          </w:p>
        </w:tc>
        <w:tc>
          <w:tcPr>
            <w:tcW w:type="dxa" w:w="2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Lab-Set</w:t>
            </w:r>
          </w:p>
        </w:tc>
        <w:tc>
          <w:tcPr>
            <w:tcW w:type="dxa" w:w="56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Härtungscheckliste Windows Server 2025 (DOCX), Anleitung FS-Härtung (Plenum), PT-Übung VLAN-Hopping (.pka/Anleitung)</w:t>
            </w:r>
          </w:p>
        </w:tc>
      </w:tr>
      <w:tr>
        <w:tc>
          <w:tcPr>
            <w:tcW w:type="dxa" w:w="9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0"/>
                <w:szCs w:val="20"/>
              </w:rPr>
              <w:t xml:space="preserve">9</w:t>
            </w:r>
          </w:p>
        </w:tc>
        <w:tc>
          <w:tcPr>
            <w:tcW w:type="dxa" w:w="2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Vollset</w:t>
            </w:r>
          </w:p>
        </w:tc>
        <w:tc>
          <w:tcPr>
            <w:tcW w:type="dxa" w:w="56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ModulL_E9_SIEM_IR.pptx + Handout, Lab-Aufgabenheft Graylog + Lösungsheft, Rollenspiel-Szenario Ransomware (Teil A schriftlich + Teil B Rollenspiel)</w:t>
            </w:r>
          </w:p>
        </w:tc>
      </w:tr>
      <w:tr>
        <w:tc>
          <w:tcPr>
            <w:tcW w:type="dxa" w:w="9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0"/>
                <w:szCs w:val="20"/>
              </w:rPr>
              <w:t xml:space="preserve">10–11</w:t>
            </w:r>
          </w:p>
        </w:tc>
        <w:tc>
          <w:tcPr>
            <w:tcW w:type="dxa" w:w="2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Prüfungs-Set</w:t>
            </w:r>
          </w:p>
        </w:tc>
        <w:tc>
          <w:tcPr>
            <w:tcW w:type="dxa" w:w="56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Capstone-Auftrag (Betriebshandbuch-Gliederungsvorgabe), Bewertungsbogen, Klausur + Musterlösung (100 P., Notenschlüssel)</w:t>
            </w:r>
          </w:p>
        </w:tc>
      </w:tr>
    </w:tbl>
    <w:p>
      <w:pPr>
        <w:pStyle w:val="Heading1"/>
        <w:pBdr>
          <w:bottom w:val="single" w:color="F0A500" w:sz="8"/>
        </w:pBdr>
        <w:spacing w:after="160" w:before="36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7. AP2-Bezug der Hälfte 2</w:t>
      </w:r>
    </w:p>
    <w:tbl>
      <w:tblPr>
        <w:tblW w:type="dxa" w:w="9026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3000"/>
        <w:gridCol w:w="6026"/>
      </w:tblGrid>
      <w:tr>
        <w:trPr>
          <w:tblHeader/>
        </w:trPr>
        <w:tc>
          <w:tcPr>
            <w:tcW w:type="dxa" w:w="3000"/>
            <w:shd w:fill="003366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Thema Hälfte 2</w:t>
            </w:r>
          </w:p>
        </w:tc>
        <w:tc>
          <w:tcPr>
            <w:tcW w:type="dxa" w:w="6026"/>
            <w:shd w:fill="003366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Typischer AP2-Aufgabentyp (FISI)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Virtualisierung / Cluster</w:t>
            </w:r>
          </w:p>
        </w:tc>
        <w:tc>
          <w:tcPr>
            <w:tcW w:type="dxa" w:w="60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HA-Konzepte begründen, Ressourcen dimensionieren, Vor-/Nachteile Virtualisierung</w:t>
            </w:r>
          </w:p>
        </w:tc>
      </w:tr>
      <w:tr>
        <w:tc>
          <w:tcPr>
            <w:tcW w:type="dxa" w:w="3000"/>
            <w:shd w:fill="EEF5F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RAID praktisch</w:t>
            </w:r>
          </w:p>
        </w:tc>
        <w:tc>
          <w:tcPr>
            <w:tcW w:type="dxa" w:w="6026"/>
            <w:shd w:fill="EEF5F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RAID-Level für Lastprofil auswählen und begründen (Schreiblast, Rebuild-Risiko)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Backup / PBS</w:t>
            </w:r>
          </w:p>
        </w:tc>
        <w:tc>
          <w:tcPr>
            <w:tcW w:type="dxa" w:w="60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Backupkonzept mit RPO/RTO aufstellen und gegen Anforderungen verteidigen</w:t>
            </w:r>
          </w:p>
        </w:tc>
      </w:tr>
      <w:tr>
        <w:tc>
          <w:tcPr>
            <w:tcW w:type="dxa" w:w="3000"/>
            <w:shd w:fill="EEF5F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Härtung / VLAN-Hopping</w:t>
            </w:r>
          </w:p>
        </w:tc>
        <w:tc>
          <w:tcPr>
            <w:tcW w:type="dxa" w:w="6026"/>
            <w:shd w:fill="EEF5F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Maßnahmen gegen VLAN-Hopping (Winter 2024/25!), Management-Zugriff absichern, 802.1X einordnen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SIEM / Logging</w:t>
            </w:r>
          </w:p>
        </w:tc>
        <w:tc>
          <w:tcPr>
            <w:tcW w:type="dxa" w:w="60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Logauszug auswerten, Angriffskette rekonstruieren, Meldepflicht Art. 33 DSGVO prüfen</w:t>
            </w:r>
          </w:p>
        </w:tc>
      </w:tr>
      <w:tr>
        <w:tc>
          <w:tcPr>
            <w:tcW w:type="dxa" w:w="3000"/>
            <w:shd w:fill="EEF5F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Incident Response</w:t>
            </w:r>
          </w:p>
        </w:tc>
        <w:tc>
          <w:tcPr>
            <w:tcW w:type="dxa" w:w="6026"/>
            <w:shd w:fill="EEF5F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IR-Phasen auf Szenario anwenden, Sofortmaßnahmen priorisieren und begründen</w:t>
            </w:r>
          </w:p>
        </w:tc>
      </w:tr>
    </w:tbl>
    <w:p>
      <w:pPr>
        <w:pStyle w:val="Heading1"/>
        <w:pBdr>
          <w:bottom w:val="single" w:color="F0A500" w:sz="8"/>
        </w:pBdr>
        <w:spacing w:after="160" w:before="36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8. Risiken und offene Punkte</w:t>
      </w:r>
    </w:p>
    <w:tbl>
      <w:tblPr>
        <w:tblW w:type="dxa" w:w="9026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2600"/>
        <w:gridCol w:w="3800"/>
        <w:gridCol w:w="2626"/>
      </w:tblGrid>
      <w:tr>
        <w:trPr>
          <w:tblHeader/>
        </w:trPr>
        <w:tc>
          <w:tcPr>
            <w:tcW w:type="dxa" w:w="2600"/>
            <w:shd w:fill="003366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Risiko</w:t>
            </w:r>
          </w:p>
        </w:tc>
        <w:tc>
          <w:tcPr>
            <w:tcW w:type="dxa" w:w="3800"/>
            <w:shd w:fill="003366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Auswirkung</w:t>
            </w:r>
          </w:p>
        </w:tc>
        <w:tc>
          <w:tcPr>
            <w:tcW w:type="dxa" w:w="2626"/>
            <w:shd w:fill="003366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Gegenmaßnahme</w:t>
            </w:r>
          </w:p>
        </w:tc>
      </w:tr>
      <w:tr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0"/>
                <w:szCs w:val="20"/>
              </w:rPr>
              <w:t xml:space="preserve">SSD nicht rechtzeitig beschafft/eingebaut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Nested Cluster + SIEM + Gruppen-VMs parallel auf 10k-HDDs nicht tragfähig</w:t>
            </w:r>
          </w:p>
        </w:tc>
        <w:tc>
          <w:tcPr>
            <w:tcW w:type="dxa" w:w="26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Beschaffung als harter Punkt im W5-Vorbereitungsfenster; Fallback: Labs sequenziell (Cluster W6–7 herunterfahren, bevor SIEM W9 startet)</w:t>
            </w:r>
          </w:p>
        </w:tc>
      </w:tr>
      <w:tr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0"/>
                <w:szCs w:val="20"/>
              </w:rPr>
              <w:t xml:space="preserve">RAID-Controller reicht SSD nicht als JBOD durch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ZFS auf Single-Disk-RAID-0 = fehleranfällige Krücke</w:t>
            </w:r>
          </w:p>
        </w:tc>
        <w:tc>
          <w:tcPr>
            <w:tcW w:type="dxa" w:w="26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Beim Einbau prüfen (UCS-Controller: JBOD-/Passthrough-Modus); ggf. HBA-Modus konfigurieren</w:t>
            </w:r>
          </w:p>
        </w:tc>
      </w:tr>
      <w:tr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0"/>
                <w:szCs w:val="20"/>
              </w:rPr>
              <w:t xml:space="preserve">Lockout am FS-Backbone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Gesamtes Lab steht</w:t>
            </w:r>
          </w:p>
        </w:tc>
        <w:tc>
          <w:tcPr>
            <w:tcW w:type="dxa" w:w="26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Härtung nur im Plenum, Konsolenkabel bereit, Config-Backup vor jeder Änderung, kein freier Schreibzugriff für Gruppen</w:t>
            </w:r>
          </w:p>
        </w:tc>
      </w:tr>
      <w:tr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0"/>
                <w:szCs w:val="20"/>
              </w:rPr>
              <w:t xml:space="preserve">Netgear-Eignung unklar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Kein Experimentiergerät für freie Härtung</w:t>
            </w:r>
          </w:p>
        </w:tc>
        <w:tc>
          <w:tcPr>
            <w:tcW w:type="dxa" w:w="26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Modell klären; falls unmanaged: Idee streichen, freie Versuche entfallen ersatzlos</w:t>
            </w:r>
          </w:p>
        </w:tc>
      </w:tr>
      <w:tr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0"/>
                <w:szCs w:val="20"/>
              </w:rPr>
              <w:t xml:space="preserve">Einzelserver = SPOF für den Kurs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Ausfall M4 stoppt alle Labs</w:t>
            </w:r>
          </w:p>
        </w:tc>
        <w:tc>
          <w:tcPr>
            <w:tcW w:type="dxa" w:w="26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PBS-Sicherung aller Lehr-VMs ab Tag 1, Snapshots vor riskanten Labs, harte Quotas gegen Storage-Vollschreiben</w:t>
            </w:r>
          </w:p>
        </w:tc>
      </w:tr>
    </w:tbl>
    <w:p>
      <w:pPr>
        <w:spacing w:after="120" w:line="276"/>
      </w:pPr>
      <w:r>
        <w:rPr>
          <w:rFonts w:ascii="Calibri" w:cs="Calibri" w:eastAsia="Calibri" w:hAnsi="Calibri"/>
          <w:b w:val="false"/>
          <w:bCs w:val="false"/>
          <w:color w:val="222222"/>
          <w:sz w:val="22"/>
          <w:szCs w:val="22"/>
        </w:rPr>
        <w:t xml:space="preserve"/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Netgear-Modellnummer nachreichen (Eignung als Experimentiergerät)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FS-Firmwarestand prüfen und Config-Backup-Prozess vor Kursstart einrichten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SSD-Beschaffung und JBOD-Check im Vorbereitungsfenster Woche 5 fest einplanen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Entscheidung Zwischenklausur nach Woche 5 vs. Gesamtklausur (siehe Dokument Hälfte 1) treffen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95959"/>
        <w:sz w:val="18"/>
        <w:szCs w:val="18"/>
      </w:rPr>
      <w:t xml:space="preserve">bfw Lübeck · Modul L (LF11) · Planungsdokument Hälfte 2 · Seite </w:t>
    </w:r>
    <w:r>
      <w:rPr>
        <w:rFonts w:ascii="Calibri" w:cs="Calibri" w:eastAsia="Calibri" w:hAnsi="Calibri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2026-07-02T12:12:42.703Z</dcterms:created>
  <dcterms:modified xsi:type="dcterms:W3CDTF">2026-07-02T12:12:42.717Z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