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003366"/>
          <w:sz w:val="40"/>
          <w:szCs w:val="40"/>
        </w:rPr>
        <w:t xml:space="preserve">Modul L – Betrieb und Sicherheit vernetzter Systeme (LF11)</w:t>
      </w:r>
    </w:p>
    <w:p>
      <w:pPr>
        <w:spacing w:after="40"/>
      </w:pPr>
      <w:r>
        <w:rPr>
          <w:rFonts w:ascii="Calibri" w:cs="Calibri" w:eastAsia="Calibri" w:hAnsi="Calibri"/>
          <w:color w:val="0066AA"/>
          <w:sz w:val="26"/>
          <w:szCs w:val="26"/>
        </w:rPr>
        <w:t xml:space="preserve">Übersicht und Wochenraster – Hälfte 1 (Wochen 1–5, ohne M4-Server)</w:t>
      </w:r>
    </w:p>
    <w:p>
      <w:pPr>
        <w:pBdr>
          <w:bottom w:val="single" w:color="F0A500" w:sz="12"/>
        </w:pBdr>
        <w:spacing w:after="24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FISI · Umfang gesamt ca. 424 UE · Stand: 02.07.2026 · Entwurf zur Kursplanung</w:t>
      </w:r>
    </w:p>
    <w:p>
      <w:pPr>
        <w:pStyle w:val="Heading1"/>
        <w:pBdr>
          <w:bottom w:val="single" w:color="F0A500" w:sz="8"/>
        </w:pBdr>
        <w:spacing w:after="160" w:before="36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1. Modulkonzept und Zweiteilung</w:t>
      </w:r>
    </w:p>
    <w:p>
      <w:pPr>
        <w:spacing w:after="12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22"/>
          <w:szCs w:val="22"/>
        </w:rPr>
        <w:t xml:space="preserve">Modul L ist als zweigeteiltes Modul angelegt. Hälfte 1 (Wochen 1–5) vermittelt die konzeptionellen und rechnerischen Grundlagen des IT-Betriebs und nutzt als Praxisplattform ausschließlich vorhandene Mittel: den Portainer-Host, die TP-Link-Layer-3-Switche und Packet Tracer. Hälfte 2 (ca. Wochen 6–11) überführt alle Konzepte in den praktischen Aufbau und Betrieb einer realen Umgebung auf dem Cisco UCS M4 (Proxmox, nested Cluster, PBS, SIEM, Capstone). Die Detailplanung der Hälfte 2 erfolgt gesondert, sobald die Hardwaredaten des M4 vorliegen.</w:t>
      </w:r>
    </w:p>
    <w:tbl>
      <w:tblPr>
        <w:tblW w:type="dxa" w:w="9026"/>
        <w:tblBorders>
          <w:top w:val="single" w:color="0066AA" w:sz="12"/>
          <w:left w:val="single" w:color="0066AA" w:sz="12"/>
          <w:bottom w:val="single" w:color="0066AA" w:sz="12"/>
          <w:right w:val="single" w:color="0066AA" w:sz="12"/>
          <w:insideH w:val="none" w:color="FFFFFF" w:sz="0"/>
          <w:insideV w:val="none" w:color="FFFFFF" w:sz="0"/>
        </w:tblBorders>
      </w:tblPr>
      <w:tblGrid>
        <w:gridCol w:w="9026"/>
      </w:tblGrid>
      <w:tr>
        <w:tc>
          <w:tcPr>
            <w:tcW w:type="dxa" w:w="9026"/>
            <w:shd w:fill="EEF5FB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Abgrenzung zu Modul K (Etappe 7)</w:t>
            </w: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Monitoring, Logging, Backup und Härtung wurden in Modul K, Etappe 7 bereits auf Grundlagenniveau behandelt. Modul L wiederholt diese Inhalte nicht, sondern hebt sie auf Betriebs- und Konzeptebene: rechnen, planen, dokumentieren, reagieren. In den Einstiegsphasen der Etappen 2–4 wird gezielt an K-E7 angeknüpft (Aktivierung von Vorwissen, keine Neuvermittlung).</w:t>
            </w:r>
          </w:p>
        </w:tc>
      </w:tr>
    </w:tbl>
    <w:p>
      <w:pPr>
        <w:spacing w:after="6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22"/>
          <w:szCs w:val="22"/>
        </w:rPr>
        <w:t xml:space="preserve"/>
      </w:r>
    </w:p>
    <w:p>
      <w:pPr>
        <w:pStyle w:val="Heading1"/>
        <w:pBdr>
          <w:bottom w:val="single" w:color="F0A500" w:sz="8"/>
        </w:pBdr>
        <w:spacing w:after="160" w:before="36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2. Wochenraster Hälfte 1</w:t>
      </w:r>
    </w:p>
    <w:tbl>
      <w:tblPr>
        <w:tblW w:type="dxa" w:w="9026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4"/>
          <w:insideV w:val="single" w:color="D6E4F0" w:sz="4"/>
        </w:tblBorders>
      </w:tblPr>
      <w:tblGrid>
        <w:gridCol w:w="900"/>
        <w:gridCol w:w="2100"/>
        <w:gridCol w:w="3226"/>
        <w:gridCol w:w="2800"/>
      </w:tblGrid>
      <w:tr>
        <w:trPr>
          <w:tblHeader/>
        </w:trPr>
        <w:tc>
          <w:tcPr>
            <w:tcW w:type="dxa" w:w="900"/>
            <w:shd w:fill="003366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Woche</w:t>
            </w:r>
          </w:p>
        </w:tc>
        <w:tc>
          <w:tcPr>
            <w:tcW w:type="dxa" w:w="2100"/>
            <w:shd w:fill="003366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Thema / Etappe</w:t>
            </w:r>
          </w:p>
        </w:tc>
        <w:tc>
          <w:tcPr>
            <w:tcW w:type="dxa" w:w="3226"/>
            <w:shd w:fill="003366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Schwerpunkte</w:t>
            </w:r>
          </w:p>
        </w:tc>
        <w:tc>
          <w:tcPr>
            <w:tcW w:type="dxa" w:w="2800"/>
            <w:shd w:fill="003366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Praxisanteil</w:t>
            </w:r>
          </w:p>
        </w:tc>
      </w:tr>
      <w:tr>
        <w:tc>
          <w:tcPr>
            <w:tcW w:type="dxa" w:w="9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0"/>
                <w:szCs w:val="20"/>
              </w:rPr>
              <w:t xml:space="preserve">1</w:t>
            </w:r>
          </w:p>
        </w:tc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E1 – Verfügbarkeit &amp; Redundanz</w:t>
            </w:r>
          </w:p>
        </w:tc>
        <w:tc>
          <w:tcPr>
            <w:tcW w:type="dxa" w:w="322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SLA, Verfügbarkeitsklassen, MTBF/MTTR, RAID-Level, USV, Redundanzkonzepte (N+1, Cluster-Begriff)</w:t>
            </w:r>
          </w:p>
        </w:tc>
        <w:tc>
          <w:tcPr>
            <w:tcW w:type="dxa" w:w="2800"/>
            <w:shd w:fill="EEF5FB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Rechenwerkstatt (SLA-Minuten, RAID-Nettokapazität, USV-Überbrückung), Planspiel Redundanzdesign</w:t>
            </w:r>
          </w:p>
        </w:tc>
      </w:tr>
      <w:tr>
        <w:tc>
          <w:tcPr>
            <w:tcW w:type="dxa" w:w="9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0"/>
                <w:szCs w:val="20"/>
              </w:rPr>
              <w:t xml:space="preserve">2</w:t>
            </w:r>
          </w:p>
        </w:tc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E2 – Backup &amp; Restore</w:t>
            </w:r>
          </w:p>
        </w:tc>
        <w:tc>
          <w:tcPr>
            <w:tcW w:type="dxa" w:w="322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3-2-1-Regel, Sicherungsarten, GVS / Türme von Hanoi, RPO/RTO, Backupfenster, Restore-Tests</w:t>
            </w:r>
          </w:p>
        </w:tc>
        <w:tc>
          <w:tcPr>
            <w:tcW w:type="dxa" w:w="2800"/>
            <w:shd w:fill="EEF5FB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Backupfenster-Kalkulation, GVS-Planspiel, Restore-Übung mit Bordmitteln (VM-Snapshot/Robocopy)</w:t>
            </w:r>
          </w:p>
        </w:tc>
      </w:tr>
      <w:tr>
        <w:tc>
          <w:tcPr>
            <w:tcW w:type="dxa" w:w="9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0"/>
                <w:szCs w:val="20"/>
              </w:rPr>
              <w:t xml:space="preserve">3</w:t>
            </w:r>
          </w:p>
        </w:tc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E3 – Monitoring</w:t>
            </w:r>
          </w:p>
        </w:tc>
        <w:tc>
          <w:tcPr>
            <w:tcW w:type="dxa" w:w="322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Monitoring-Arten (Verfügbarkeit, Performance, Log), SNMP v2c/v3, Schwellwerte, Alerting, Dashboards</w:t>
            </w:r>
          </w:p>
        </w:tc>
        <w:tc>
          <w:tcPr>
            <w:tcW w:type="dxa" w:w="2800"/>
            <w:shd w:fill="EEF5FB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Portainer-Lab: Uptime Kuma (Einstieg), danach Zabbix ODER CheckMK Raw gegen TP-Link-Switche per SNMP</w:t>
            </w:r>
          </w:p>
        </w:tc>
      </w:tr>
      <w:tr>
        <w:tc>
          <w:tcPr>
            <w:tcW w:type="dxa" w:w="9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0"/>
                <w:szCs w:val="20"/>
              </w:rPr>
              <w:t xml:space="preserve">4</w:t>
            </w:r>
          </w:p>
        </w:tc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E4 – Logging &amp; Härtung I</w:t>
            </w:r>
          </w:p>
        </w:tc>
        <w:tc>
          <w:tcPr>
            <w:tcW w:type="dxa" w:w="322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Syslog-Architektur, Log-Level, zentrale Sammlung, Log-Analyse; Geräte-Härtung konzeptionell</w:t>
            </w:r>
          </w:p>
        </w:tc>
        <w:tc>
          <w:tcPr>
            <w:tcW w:type="dxa" w:w="2800"/>
            <w:shd w:fill="EEF5FB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Syslog der TP-Links zentral sammeln (Portainer), Analyse-Übung 'Findet den Angriff', Cisco-Härtung in Packet Tracer</w:t>
            </w:r>
          </w:p>
        </w:tc>
      </w:tr>
      <w:tr>
        <w:tc>
          <w:tcPr>
            <w:tcW w:type="dxa" w:w="9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0"/>
                <w:szCs w:val="20"/>
              </w:rPr>
              <w:t xml:space="preserve">5</w:t>
            </w:r>
          </w:p>
        </w:tc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E5 – BSI IT-Grundschutz &amp; ISMS</w:t>
            </w:r>
          </w:p>
        </w:tc>
        <w:tc>
          <w:tcPr>
            <w:tcW w:type="dxa" w:w="322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Schutzbedarfsfeststellung, Basis-/Standard-/Kernabsicherung, ISMS, ISO 27001 (Abgrenzung), PDCA</w:t>
            </w:r>
          </w:p>
        </w:tc>
        <w:tc>
          <w:tcPr>
            <w:tcW w:type="dxa" w:w="2800"/>
            <w:shd w:fill="EEF5FB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Gruppenarbeit: Schutzbedarfsanalyse fiktive Firma, Präsentation nach Richtlinie Herbst 2024 inkl. Handout</w:t>
            </w:r>
          </w:p>
        </w:tc>
      </w:tr>
    </w:tbl>
    <w:p>
      <w:pPr>
        <w:spacing w:after="6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22"/>
          <w:szCs w:val="22"/>
        </w:rPr>
        <w:t xml:space="preserve"/>
      </w:r>
    </w:p>
    <w:tbl>
      <w:tblPr>
        <w:tblW w:type="dxa" w:w="9026"/>
        <w:tblBorders>
          <w:top w:val="single" w:color="F0A500" w:sz="12"/>
          <w:left w:val="single" w:color="F0A500" w:sz="12"/>
          <w:bottom w:val="single" w:color="F0A500" w:sz="12"/>
          <w:right w:val="single" w:color="F0A500" w:sz="12"/>
          <w:insideH w:val="none" w:color="FFFFFF" w:sz="0"/>
          <w:insideV w:val="none" w:color="FFFFFF" w:sz="0"/>
        </w:tblBorders>
      </w:tblPr>
      <w:tblGrid>
        <w:gridCol w:w="9026"/>
      </w:tblGrid>
      <w:tr>
        <w:tc>
          <w:tcPr>
            <w:tcW w:type="dxa" w:w="9026"/>
            <w:shd w:fill="FFF4DC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Dozenten-Hinweis: Kein reiner Theorieblock</w:t>
            </w: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Jede Woche enthält mindestens 40 % Praxis- oder Übungsanteil. Die Erfahrung aus den bisherigen Modulen zeigt: Reine Folienwochen tragen bei Umschülern nicht. Die Rechenwerkstätten (Wochen 1–2) sind bewusst als eigenständige Arbeitsphasen mit Aufgabenheft konzipiert, nicht als Folienanhang.</w:t>
            </w:r>
          </w:p>
        </w:tc>
      </w:tr>
    </w:tbl>
    <w:p>
      <w:pPr>
        <w:spacing w:after="6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22"/>
          <w:szCs w:val="22"/>
        </w:rPr>
        <w:t xml:space="preserve"/>
      </w:r>
    </w:p>
    <w:tbl>
      <w:tblPr>
        <w:tblW w:type="dxa" w:w="9026"/>
        <w:tblBorders>
          <w:top w:val="single" w:color="F0A500" w:sz="12"/>
          <w:left w:val="single" w:color="F0A500" w:sz="12"/>
          <w:bottom w:val="single" w:color="F0A500" w:sz="12"/>
          <w:right w:val="single" w:color="F0A500" w:sz="12"/>
          <w:insideH w:val="none" w:color="FFFFFF" w:sz="0"/>
          <w:insideV w:val="none" w:color="FFFFFF" w:sz="0"/>
        </w:tblBorders>
      </w:tblPr>
      <w:tblGrid>
        <w:gridCol w:w="9026"/>
      </w:tblGrid>
      <w:tr>
        <w:tc>
          <w:tcPr>
            <w:tcW w:type="dxa" w:w="9026"/>
            <w:shd w:fill="FFF4DC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Dozenten-Hinweis: Freitags-Schleife AP2</w:t>
            </w: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Empfehlung: jeden Freitag 2 UE Altaufgaben aus dem FISI-Teil der AP2 (rotierend durch alle Themen, nicht nur Modul-L-Stoff). Bei 424 UE Gesamtvolumen ist diese Wiederholungsschleife der wirksamste Schutz gegen Stoffverfall aus früheren Modulen.</w:t>
            </w:r>
          </w:p>
        </w:tc>
      </w:tr>
    </w:tbl>
    <w:p>
      <w:pPr>
        <w:pStyle w:val="Heading1"/>
        <w:pBdr>
          <w:bottom w:val="single" w:color="F0A500" w:sz="8"/>
        </w:pBdr>
        <w:spacing w:after="160" w:before="36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3. Etappen im Detail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66AA"/>
          <w:sz w:val="25"/>
          <w:szCs w:val="25"/>
        </w:rPr>
        <w:t xml:space="preserve">Woche 1 · E1 – Verfügbarkeit &amp; Redundanz</w:t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Lernziele: 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Die Teilnehmenden berechnen Verfügbarkeitswerte und zulässige Ausfallzeiten aus SLA-Vorgaben, erklären MTBF/MTTR, wählen RAID-Level anforderungsgerecht aus und dimensionieren eine USV-Lösung.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b w:val="false"/>
          <w:bCs w:val="false"/>
          <w:color w:val="222222"/>
          <w:sz w:val="22"/>
          <w:szCs w:val="22"/>
        </w:rPr>
        <w:t xml:space="preserve">Tag 1–2: SLA und Verfügbarkeitsklassen, Umrechnung Prozent ↔ Ausfallminuten, MTBF/MTTR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b w:val="false"/>
          <w:bCs w:val="false"/>
          <w:color w:val="222222"/>
          <w:sz w:val="22"/>
          <w:szCs w:val="22"/>
        </w:rPr>
        <w:t xml:space="preserve">Tag 3: RAID 0/1/5/6/10 – Nettokapazität, Ausfalltoleranz, Rebuild-Risiko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b w:val="false"/>
          <w:bCs w:val="false"/>
          <w:color w:val="222222"/>
          <w:sz w:val="22"/>
          <w:szCs w:val="22"/>
        </w:rPr>
        <w:t xml:space="preserve">Tag 4: USV-Typen (VFD/VI/VFI), Überbrückungszeit-Berechnung, N+1-Redundanz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b w:val="false"/>
          <w:bCs w:val="false"/>
          <w:color w:val="222222"/>
          <w:sz w:val="22"/>
          <w:szCs w:val="22"/>
        </w:rPr>
        <w:t xml:space="preserve">Tag 5: Rechenwerkstatt (Aufgabenheft, Klausurformat) + Freitags-Schleife AP2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66AA"/>
          <w:sz w:val="25"/>
          <w:szCs w:val="25"/>
        </w:rPr>
        <w:t xml:space="preserve">Woche 2 · E2 – Backup &amp; Restore</w:t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Lernziele: 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Die Teilnehmenden entwerfen ein Backupkonzept nach 3-2-1-Regel, stellen einen GVS-Rotationsplan auf, leiten RPO/RTO aus Geschäftsanforderungen ab und berechnen Backupfenster aus Datenvolumen und Bandbreite.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b w:val="false"/>
          <w:bCs w:val="false"/>
          <w:color w:val="222222"/>
          <w:sz w:val="22"/>
          <w:szCs w:val="22"/>
        </w:rPr>
        <w:t xml:space="preserve">Tag 1: Sicherungsarten (voll/differenziell/inkrementell) mit Restore-Ketten-Vergleich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b w:val="false"/>
          <w:bCs w:val="false"/>
          <w:color w:val="222222"/>
          <w:sz w:val="22"/>
          <w:szCs w:val="22"/>
        </w:rPr>
        <w:t xml:space="preserve">Tag 2: GVS und Türme von Hanoi als Planspiel, Aufbewahrungsfristen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b w:val="false"/>
          <w:bCs w:val="false"/>
          <w:color w:val="222222"/>
          <w:sz w:val="22"/>
          <w:szCs w:val="22"/>
        </w:rPr>
        <w:t xml:space="preserve">Tag 3: RPO/RTO als Planungsgrößen, Backupfenster-Kalkulation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b w:val="false"/>
          <w:bCs w:val="false"/>
          <w:color w:val="222222"/>
          <w:sz w:val="22"/>
          <w:szCs w:val="22"/>
        </w:rPr>
        <w:t xml:space="preserve">Tag 4: Restore-Übung mit Bordmitteln – ein Restore, der nie getestet wurde, existiert nicht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b w:val="false"/>
          <w:bCs w:val="false"/>
          <w:color w:val="222222"/>
          <w:sz w:val="22"/>
          <w:szCs w:val="22"/>
        </w:rPr>
        <w:t xml:space="preserve">Tag 5: Übungsklausur-Teil Backup + Freitags-Schleife AP2</w:t>
      </w:r>
    </w:p>
    <w:tbl>
      <w:tblPr>
        <w:tblW w:type="dxa" w:w="9026"/>
        <w:tblBorders>
          <w:top w:val="single" w:color="F0A500" w:sz="12"/>
          <w:left w:val="single" w:color="F0A500" w:sz="12"/>
          <w:bottom w:val="single" w:color="F0A500" w:sz="12"/>
          <w:right w:val="single" w:color="F0A500" w:sz="12"/>
          <w:insideH w:val="none" w:color="FFFFFF" w:sz="0"/>
          <w:insideV w:val="none" w:color="FFFFFF" w:sz="0"/>
        </w:tblBorders>
      </w:tblPr>
      <w:tblGrid>
        <w:gridCol w:w="9026"/>
      </w:tblGrid>
      <w:tr>
        <w:tc>
          <w:tcPr>
            <w:tcW w:type="dxa" w:w="9026"/>
            <w:shd w:fill="FFF4DC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Dozenten-Hinweis: Vorgriff auf Hälfte 2</w:t>
            </w: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Die hier erstellten Backupkonzepte werden in Hälfte 2 mit dem Proxmox Backup Server real umgesetzt und die berechneten RTO-Werte messtechnisch überprüft. Konzepte der Gruppen daher aufbewahren – sie sind Arbeitsgrundlage für Woche 6–7.</w:t>
            </w:r>
          </w:p>
        </w:tc>
      </w:tr>
    </w:tbl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66AA"/>
          <w:sz w:val="25"/>
          <w:szCs w:val="25"/>
        </w:rPr>
        <w:t xml:space="preserve">Woche 3 · E3 – Monitoring (Portainer-Lab)</w:t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Lernziele: 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Die Teilnehmenden richten ein Monitoring-System eigenständig ein, binden Netzwerkgeräte per SNMP an, definieren Schwellwerte und Eskalationswege und begründen den Einsatz von SNMPv3.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b w:val="false"/>
          <w:bCs w:val="false"/>
          <w:color w:val="222222"/>
          <w:sz w:val="22"/>
          <w:szCs w:val="22"/>
        </w:rPr>
        <w:t xml:space="preserve">Tag 1: Monitoring-Arten und -Begriffe, Einstieg mit Uptime Kuma (schneller Erfolg)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b w:val="false"/>
          <w:bCs w:val="false"/>
          <w:color w:val="222222"/>
          <w:sz w:val="22"/>
          <w:szCs w:val="22"/>
        </w:rPr>
        <w:t xml:space="preserve">Tag 2–4: Zabbix ODER CheckMK Raw als Portainer-Stack; TP-Link-Switche per SNMP anbinden; Live-Demo: Kabel ziehen, Alert beobachten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b w:val="false"/>
          <w:bCs w:val="false"/>
          <w:color w:val="222222"/>
          <w:sz w:val="22"/>
          <w:szCs w:val="22"/>
        </w:rPr>
        <w:t xml:space="preserve">Tag 5: Dashboards und Alerting finalisieren, Ergebnissicherung + Freitags-Schleife AP2</w:t>
      </w:r>
    </w:p>
    <w:tbl>
      <w:tblPr>
        <w:tblW w:type="dxa" w:w="9026"/>
        <w:tblBorders>
          <w:top w:val="single" w:color="F0A500" w:sz="12"/>
          <w:left w:val="single" w:color="F0A500" w:sz="12"/>
          <w:bottom w:val="single" w:color="F0A500" w:sz="12"/>
          <w:right w:val="single" w:color="F0A500" w:sz="12"/>
          <w:insideH w:val="none" w:color="FFFFFF" w:sz="0"/>
          <w:insideV w:val="none" w:color="FFFFFF" w:sz="0"/>
        </w:tblBorders>
      </w:tblPr>
      <w:tblGrid>
        <w:gridCol w:w="9026"/>
      </w:tblGrid>
      <w:tr>
        <w:tc>
          <w:tcPr>
            <w:tcW w:type="dxa" w:w="9026"/>
            <w:shd w:fill="FFF4DC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Dozenten-Hinweis: Werkzeugentscheidung vor Kursbeginn treffen</w:t>
            </w: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Zabbix oder CheckMK Raw – nicht beides. Beide laufen als Docker-Stack, CheckMK ist im Einstieg zugänglicher, Zabbix in Stellenanzeigen präsenter. Vorab auf dem Portainer-Host testen (RAM!) und SNMP auf den TP-Links aktivieren (SNMPv3-Nutzer anlegen). Ohne diesen Vorlauf verliert Tag 2 zwei Stunden an Setup-Chaos.</w:t>
            </w:r>
          </w:p>
        </w:tc>
      </w:tr>
    </w:tbl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66AA"/>
          <w:sz w:val="25"/>
          <w:szCs w:val="25"/>
        </w:rPr>
        <w:t xml:space="preserve">Woche 4 · E4 – Logging &amp; Härtung I</w:t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Lernziele: 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Die Teilnehmenden erklären die Syslog-Architektur, sammeln Gerätelogs zentral, werten Logauszüge auf Angriffsspuren aus und härten Netzwerkgeräte auf Management-Ebene.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b w:val="false"/>
          <w:bCs w:val="false"/>
          <w:color w:val="222222"/>
          <w:sz w:val="22"/>
          <w:szCs w:val="22"/>
        </w:rPr>
        <w:t xml:space="preserve">Tag 1: Syslog-Grundlagen (Facilities, Severities), zentrale Log-Sammlung als Portainer-Stack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b w:val="false"/>
          <w:bCs w:val="false"/>
          <w:color w:val="222222"/>
          <w:sz w:val="22"/>
          <w:szCs w:val="22"/>
        </w:rPr>
        <w:t xml:space="preserve">Tag 2: TP-Link-Switche als Syslog-Quellen anbinden, Ereignisse provozieren und wiederfinden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b w:val="false"/>
          <w:bCs w:val="false"/>
          <w:color w:val="222222"/>
          <w:sz w:val="22"/>
          <w:szCs w:val="22"/>
        </w:rPr>
        <w:t xml:space="preserve">Tag 3: Analyse-Übung 'Findet den Angriff' mit vorbereiteten Logauszügen (Papier/HTML)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b w:val="false"/>
          <w:bCs w:val="false"/>
          <w:color w:val="222222"/>
          <w:sz w:val="22"/>
          <w:szCs w:val="22"/>
        </w:rPr>
        <w:t xml:space="preserve">Tag 4: Härtung konzeptionell + Cisco-Umsetzung in Packet Tracer (SSH statt Telnet, Port-Security, unbenutzte Ports, Management-VLAN)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b w:val="false"/>
          <w:bCs w:val="false"/>
          <w:color w:val="222222"/>
          <w:sz w:val="22"/>
          <w:szCs w:val="22"/>
        </w:rPr>
        <w:t xml:space="preserve">Tag 5: TP-Link-Härtung real (SNMPv3, SSH-only, Management-VLAN) + Freitags-Schleife AP2</w:t>
      </w:r>
    </w:p>
    <w:tbl>
      <w:tblPr>
        <w:tblW w:type="dxa" w:w="9026"/>
        <w:tblBorders>
          <w:top w:val="single" w:color="F0A500" w:sz="12"/>
          <w:left w:val="single" w:color="F0A500" w:sz="12"/>
          <w:bottom w:val="single" w:color="F0A500" w:sz="12"/>
          <w:right w:val="single" w:color="F0A500" w:sz="12"/>
          <w:insideH w:val="none" w:color="FFFFFF" w:sz="0"/>
          <w:insideV w:val="none" w:color="FFFFFF" w:sz="0"/>
        </w:tblBorders>
      </w:tblPr>
      <w:tblGrid>
        <w:gridCol w:w="9026"/>
      </w:tblGrid>
      <w:tr>
        <w:tc>
          <w:tcPr>
            <w:tcW w:type="dxa" w:w="9026"/>
            <w:shd w:fill="FFF4DC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Dozenten-Hinweis: Bewusst noch kein SIEM</w:t>
            </w: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Ein vollwertiges SIEM (Wazuh/Graylog mit Korrelationsregeln) folgt erst in Hälfte 2 auf dem M4 – dort mit genug Ressourcen und echten Windows-/Linux-Quellen. In Woche 4 geht es um das Verständnis der Log-Kette und das Lesen von Logs. Die vorbereitete Analyse-Übung liefert hier mehr Erkenntnis pro UE als ein ressourcenhungriges SIEM-Deployment auf dem Portainer-Host.</w:t>
            </w:r>
          </w:p>
        </w:tc>
      </w:tr>
    </w:tbl>
    <w:tbl>
      <w:tblPr>
        <w:tblW w:type="dxa" w:w="9026"/>
        <w:tblBorders>
          <w:top w:val="single" w:color="F0A500" w:sz="12"/>
          <w:left w:val="single" w:color="F0A500" w:sz="12"/>
          <w:bottom w:val="single" w:color="F0A500" w:sz="12"/>
          <w:right w:val="single" w:color="F0A500" w:sz="12"/>
          <w:insideH w:val="none" w:color="FFFFFF" w:sz="0"/>
          <w:insideV w:val="none" w:color="FFFFFF" w:sz="0"/>
        </w:tblBorders>
      </w:tblPr>
      <w:tblGrid>
        <w:gridCol w:w="9026"/>
      </w:tblGrid>
      <w:tr>
        <w:tc>
          <w:tcPr>
            <w:tcW w:type="dxa" w:w="9026"/>
            <w:shd w:fill="FFF4DC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Dozenten-Hinweis: Herstellervergleich als Lernziel nutzen</w:t>
            </w: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TP-Link-Praxis und Cisco-Syntax in Packet Tracer bewusst gegenüberstellen: Das Konzept (Management absichern, Ports minimieren) ist herstellerunabhängig, die Syntax nicht. Die AP2 prüft Cisco-nahe Konzepte – u. a. VLAN-Hopping (Winter 2024/25) –, daher darf die PT-Übung nicht entfallen.</w:t>
            </w:r>
          </w:p>
        </w:tc>
      </w:tr>
    </w:tbl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66AA"/>
          <w:sz w:val="25"/>
          <w:szCs w:val="25"/>
        </w:rPr>
        <w:t xml:space="preserve">Woche 5 · E5 – BSI IT-Grundschutz &amp; ISMS</w:t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Lernziele: 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Die Teilnehmenden führen eine Schutzbedarfsfeststellung durch, ordnen die Absicherungsarten des BSI-Grundschutzes ein, grenzen IT-Grundschutz und ISO 27001 voneinander ab und wenden den PDCA-Zyklus auf ein ISMS an.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b w:val="false"/>
          <w:bCs w:val="false"/>
          <w:color w:val="222222"/>
          <w:sz w:val="22"/>
          <w:szCs w:val="22"/>
        </w:rPr>
        <w:t xml:space="preserve">Tag 1: ISMS-Grundlagen, PDCA, Rollen (ISB), Leitlinie vs. Konzept vs. Richtlinie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b w:val="false"/>
          <w:bCs w:val="false"/>
          <w:color w:val="222222"/>
          <w:sz w:val="22"/>
          <w:szCs w:val="22"/>
        </w:rPr>
        <w:t xml:space="preserve">Tag 2: BSI-Standards 200-1/-2/-3, Basis-/Standard-/Kernabsicherung, Bausteine-Logik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b w:val="false"/>
          <w:bCs w:val="false"/>
          <w:color w:val="222222"/>
          <w:sz w:val="22"/>
          <w:szCs w:val="22"/>
        </w:rPr>
        <w:t xml:space="preserve">Tag 3–4: Gruppenarbeit Schutzbedarfsfeststellung (fiktive Firmen-Szenarien A–D, norddeutsche Unternehmen)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b w:val="false"/>
          <w:bCs w:val="false"/>
          <w:color w:val="222222"/>
          <w:sz w:val="22"/>
          <w:szCs w:val="22"/>
        </w:rPr>
        <w:t xml:space="preserve">Tag 5: Präsentationen nach Richtlinie Herbst 2024 (inkl. Handout-Pflicht), Feedback, Freitags-Schleife AP2</w:t>
      </w:r>
    </w:p>
    <w:tbl>
      <w:tblPr>
        <w:tblW w:type="dxa" w:w="9026"/>
        <w:tblBorders>
          <w:top w:val="single" w:color="F0A500" w:sz="12"/>
          <w:left w:val="single" w:color="F0A500" w:sz="12"/>
          <w:bottom w:val="single" w:color="F0A500" w:sz="12"/>
          <w:right w:val="single" w:color="F0A500" w:sz="12"/>
          <w:insideH w:val="none" w:color="FFFFFF" w:sz="0"/>
          <w:insideV w:val="none" w:color="FFFFFF" w:sz="0"/>
        </w:tblBorders>
      </w:tblPr>
      <w:tblGrid>
        <w:gridCol w:w="9026"/>
      </w:tblGrid>
      <w:tr>
        <w:tc>
          <w:tcPr>
            <w:tcW w:type="dxa" w:w="9026"/>
            <w:shd w:fill="FFF4DC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Dozenten-Hinweis: Dozentenfreiraum für M4-Vorbereitung</w:t>
            </w: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Die Gruppenarbeit an Tag 3–4 läuft weitgehend selbstständig. Dieses Zeitfenster ist bewusst so gelegt, dass parallel der M4 für Hälfte 2 vorbereitet werden kann: Proxmox-ISO, Netzplan des Lab-Netzes, IOS-/Firmwarestände der Geräte, Konsolenzugänge, Ressourcen-Quotas. Ohne diesen Vorlauf kostet Woche 6 einen vollen Tag Logistik.</w:t>
            </w:r>
          </w:p>
        </w:tc>
      </w:tr>
    </w:tbl>
    <w:p>
      <w:pPr>
        <w:pStyle w:val="Heading1"/>
        <w:pBdr>
          <w:bottom w:val="single" w:color="F0A500" w:sz="8"/>
        </w:pBdr>
        <w:spacing w:after="160" w:before="36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4. Materialscoping und Produktionsliste</w:t>
      </w:r>
    </w:p>
    <w:p>
      <w:pPr>
        <w:spacing w:after="12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22"/>
          <w:szCs w:val="22"/>
        </w:rPr>
        <w:t xml:space="preserve">Nicht jede Etappe erhält ein Vollset – Materialtiefe folgt dem Etappentyp (bewährt aus LF9/Modul K):</w:t>
      </w:r>
    </w:p>
    <w:tbl>
      <w:tblPr>
        <w:tblW w:type="dxa" w:w="9026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4"/>
          <w:insideV w:val="single" w:color="D6E4F0" w:sz="4"/>
        </w:tblBorders>
      </w:tblPr>
      <w:tblGrid>
        <w:gridCol w:w="900"/>
        <w:gridCol w:w="2500"/>
        <w:gridCol w:w="5626"/>
      </w:tblGrid>
      <w:tr>
        <w:trPr>
          <w:tblHeader/>
        </w:trPr>
        <w:tc>
          <w:tcPr>
            <w:tcW w:type="dxa" w:w="900"/>
            <w:shd w:fill="003366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Woche</w:t>
            </w:r>
          </w:p>
        </w:tc>
        <w:tc>
          <w:tcPr>
            <w:tcW w:type="dxa" w:w="2500"/>
            <w:shd w:fill="003366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Materialtyp</w:t>
            </w:r>
          </w:p>
        </w:tc>
        <w:tc>
          <w:tcPr>
            <w:tcW w:type="dxa" w:w="5626"/>
            <w:shd w:fill="003366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Dateien (geplant)</w:t>
            </w:r>
          </w:p>
        </w:tc>
      </w:tr>
      <w:tr>
        <w:tc>
          <w:tcPr>
            <w:tcW w:type="dxa" w:w="9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0"/>
                <w:szCs w:val="20"/>
              </w:rPr>
              <w:t xml:space="preserve">1</w:t>
            </w:r>
          </w:p>
        </w:tc>
        <w:tc>
          <w:tcPr>
            <w:tcW w:type="dxa" w:w="2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Vollset</w:t>
            </w:r>
          </w:p>
        </w:tc>
        <w:tc>
          <w:tcPr>
            <w:tcW w:type="dxa" w:w="562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ModulL_E1_Verfuegbarkeit.pptx + Handout (DOCX/PDF), Aufgabenheft Rechenwerkstatt + Lösungsheft</w:t>
            </w:r>
          </w:p>
        </w:tc>
      </w:tr>
      <w:tr>
        <w:tc>
          <w:tcPr>
            <w:tcW w:type="dxa" w:w="9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0"/>
                <w:szCs w:val="20"/>
              </w:rPr>
              <w:t xml:space="preserve">2</w:t>
            </w:r>
          </w:p>
        </w:tc>
        <w:tc>
          <w:tcPr>
            <w:tcW w:type="dxa" w:w="2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Vollset</w:t>
            </w:r>
          </w:p>
        </w:tc>
        <w:tc>
          <w:tcPr>
            <w:tcW w:type="dxa" w:w="562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ModulL_E2_Backup.pptx + Handout, Aufgabenheft Backup-Kalkulation + Lösungsheft, GVS-Planspielkarten</w:t>
            </w:r>
          </w:p>
        </w:tc>
      </w:tr>
      <w:tr>
        <w:tc>
          <w:tcPr>
            <w:tcW w:type="dxa" w:w="9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0"/>
                <w:szCs w:val="20"/>
              </w:rPr>
              <w:t xml:space="preserve">3</w:t>
            </w:r>
          </w:p>
        </w:tc>
        <w:tc>
          <w:tcPr>
            <w:tcW w:type="dxa" w:w="2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Lab-Set</w:t>
            </w:r>
          </w:p>
        </w:tc>
        <w:tc>
          <w:tcPr>
            <w:tcW w:type="dxa" w:w="562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Schlanke Einführungs-PPTX (ca. 10 Folien) + Handout, Lab-Aufgabenheft Monitoring + Dozenten-Lösungsheft, Portainer-Stack-Vorlagen (docker-compose)</w:t>
            </w:r>
          </w:p>
        </w:tc>
      </w:tr>
      <w:tr>
        <w:tc>
          <w:tcPr>
            <w:tcW w:type="dxa" w:w="9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0"/>
                <w:szCs w:val="20"/>
              </w:rPr>
              <w:t xml:space="preserve">4</w:t>
            </w:r>
          </w:p>
        </w:tc>
        <w:tc>
          <w:tcPr>
            <w:tcW w:type="dxa" w:w="2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Lab-Set</w:t>
            </w:r>
          </w:p>
        </w:tc>
        <w:tc>
          <w:tcPr>
            <w:tcW w:type="dxa" w:w="562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Schlanke Einführungs-PPTX + Handout, Log-Analyse-Übung (vorbereitete Logauszüge) + Lösungsheft, PT-Übung Cisco-Härtung (.pka oder Anleitung)</w:t>
            </w:r>
          </w:p>
        </w:tc>
      </w:tr>
      <w:tr>
        <w:tc>
          <w:tcPr>
            <w:tcW w:type="dxa" w:w="9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0"/>
                <w:szCs w:val="20"/>
              </w:rPr>
              <w:t xml:space="preserve">5</w:t>
            </w:r>
          </w:p>
        </w:tc>
        <w:tc>
          <w:tcPr>
            <w:tcW w:type="dxa" w:w="2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Theorie-Set</w:t>
            </w:r>
          </w:p>
        </w:tc>
        <w:tc>
          <w:tcPr>
            <w:tcW w:type="dxa" w:w="562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ModulL_E5_Grundschutz.pptx + Handout, Gruppenarbeitsauftrag (Szenario-Handouts A–D), Bewertungsbogen Präsentation</w:t>
            </w:r>
          </w:p>
        </w:tc>
      </w:tr>
    </w:tbl>
    <w:p>
      <w:pPr>
        <w:spacing w:after="6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22"/>
          <w:szCs w:val="22"/>
        </w:rPr>
        <w:t xml:space="preserve"/>
      </w:r>
    </w:p>
    <w:p>
      <w:pPr>
        <w:spacing w:after="12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22"/>
          <w:szCs w:val="22"/>
        </w:rPr>
        <w:t xml:space="preserve">Alle Klausuren und Lernzielkontrollen: 100 Punkte mit Notenschlüssel (Hausnorm). Aufgabenhefte und Lösungshefte stets getrennt. Präsentationsbezogene Foliensätze folgen der Gestaltungsrichtlinie Herbst 2024 (Stichpunkte/Grafiken, Name/Seite/Datum/Thema auf jeder Folie) mit begleitendem Handout in Fließtext.</w:t>
      </w:r>
    </w:p>
    <w:p>
      <w:pPr>
        <w:pStyle w:val="Heading1"/>
        <w:pBdr>
          <w:bottom w:val="single" w:color="F0A500" w:sz="8"/>
        </w:pBdr>
        <w:spacing w:after="160" w:before="36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5. AP2-Bezug der Hälfte 1</w:t>
      </w:r>
    </w:p>
    <w:tbl>
      <w:tblPr>
        <w:tblW w:type="dxa" w:w="9026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4"/>
          <w:insideV w:val="single" w:color="D6E4F0" w:sz="4"/>
        </w:tblBorders>
      </w:tblPr>
      <w:tblGrid>
        <w:gridCol w:w="3000"/>
        <w:gridCol w:w="6026"/>
      </w:tblGrid>
      <w:tr>
        <w:trPr>
          <w:tblHeader/>
        </w:trPr>
        <w:tc>
          <w:tcPr>
            <w:tcW w:type="dxa" w:w="3000"/>
            <w:shd w:fill="003366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Thema Hälfte 1</w:t>
            </w:r>
          </w:p>
        </w:tc>
        <w:tc>
          <w:tcPr>
            <w:tcW w:type="dxa" w:w="6026"/>
            <w:shd w:fill="003366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Typischer AP2-Aufgabentyp (FISI)</w:t>
            </w:r>
          </w:p>
        </w:tc>
      </w:tr>
      <w:tr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Verfügbarkeit / SLA</w:t>
            </w:r>
          </w:p>
        </w:tc>
        <w:tc>
          <w:tcPr>
            <w:tcW w:type="dxa" w:w="602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Verfügbarkeit in Prozent in Ausfallminuten/-stunden pro Jahr umrechnen; Redundanzkonzept begründen</w:t>
            </w:r>
          </w:p>
        </w:tc>
      </w:tr>
      <w:tr>
        <w:tc>
          <w:tcPr>
            <w:tcW w:type="dxa" w:w="3000"/>
            <w:shd w:fill="EEF5FB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RAID</w:t>
            </w:r>
          </w:p>
        </w:tc>
        <w:tc>
          <w:tcPr>
            <w:tcW w:type="dxa" w:w="6026"/>
            <w:shd w:fill="EEF5FB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Nettokapazität und Ausfalltoleranz berechnen, RAID-Level für Anforderung auswählen und begründen</w:t>
            </w:r>
          </w:p>
        </w:tc>
      </w:tr>
      <w:tr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Backup</w:t>
            </w:r>
          </w:p>
        </w:tc>
        <w:tc>
          <w:tcPr>
            <w:tcW w:type="dxa" w:w="602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Sicherungsarten vergleichen, Backupfenster/Datenvolumen berechnen, GVS-Rotationsplan aufstellen</w:t>
            </w:r>
          </w:p>
        </w:tc>
      </w:tr>
      <w:tr>
        <w:tc>
          <w:tcPr>
            <w:tcW w:type="dxa" w:w="3000"/>
            <w:shd w:fill="EEF5FB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Monitoring / SNMP</w:t>
            </w:r>
          </w:p>
        </w:tc>
        <w:tc>
          <w:tcPr>
            <w:tcW w:type="dxa" w:w="6026"/>
            <w:shd w:fill="EEF5FB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SNMPv3 gegenüber v2c begründen, Schwellwerte und Eskalationswege konzipieren</w:t>
            </w:r>
          </w:p>
        </w:tc>
      </w:tr>
      <w:tr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Härtung / VLAN</w:t>
            </w:r>
          </w:p>
        </w:tc>
        <w:tc>
          <w:tcPr>
            <w:tcW w:type="dxa" w:w="602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Maßnahmen gegen VLAN-Hopping (Winter 2024/25!), Management-Zugriff absichern</w:t>
            </w:r>
          </w:p>
        </w:tc>
      </w:tr>
      <w:tr>
        <w:tc>
          <w:tcPr>
            <w:tcW w:type="dxa" w:w="3000"/>
            <w:shd w:fill="EEF5FB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Grundschutz / ISMS</w:t>
            </w:r>
          </w:p>
        </w:tc>
        <w:tc>
          <w:tcPr>
            <w:tcW w:type="dxa" w:w="6026"/>
            <w:shd w:fill="EEF5FB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0"/>
                <w:szCs w:val="20"/>
              </w:rPr>
              <w:t xml:space="preserve">Schutzbedarf klassifizieren, TOM zuordnen, PDCA-Zyklus anwenden</w:t>
            </w:r>
          </w:p>
        </w:tc>
      </w:tr>
    </w:tbl>
    <w:p>
      <w:pPr>
        <w:pStyle w:val="Heading1"/>
        <w:pBdr>
          <w:bottom w:val="single" w:color="F0A500" w:sz="8"/>
        </w:pBdr>
        <w:spacing w:after="160" w:before="36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6. Offene Punkte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b w:val="false"/>
          <w:bCs w:val="false"/>
          <w:color w:val="222222"/>
          <w:sz w:val="22"/>
          <w:szCs w:val="22"/>
        </w:rPr>
        <w:t xml:space="preserve">Hardwaredaten M4 (RAM, Storage, CPU) → Ressourcenaufteilung und Detailplanung Hälfte 2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b w:val="false"/>
          <w:bCs w:val="false"/>
          <w:color w:val="222222"/>
          <w:sz w:val="22"/>
          <w:szCs w:val="22"/>
        </w:rPr>
        <w:t xml:space="preserve">Gruppenanzahl und -größe → Szenario-Handouts Woche 5 und Pool-Planung M4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b w:val="false"/>
          <w:bCs w:val="false"/>
          <w:color w:val="222222"/>
          <w:sz w:val="22"/>
          <w:szCs w:val="22"/>
        </w:rPr>
        <w:t xml:space="preserve">Werkzeugentscheidung Woche 3: Zabbix oder CheckMK Raw (Testlauf auf Portainer-Host)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b w:val="false"/>
          <w:bCs w:val="false"/>
          <w:color w:val="222222"/>
          <w:sz w:val="22"/>
          <w:szCs w:val="22"/>
        </w:rPr>
        <w:t xml:space="preserve">SNMP-/Syslog-Fähigkeiten der konkreten TP-Link-Modelle prüfen (Modellnummern nachreichen)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b w:val="false"/>
          <w:bCs w:val="false"/>
          <w:color w:val="222222"/>
          <w:sz w:val="22"/>
          <w:szCs w:val="22"/>
        </w:rPr>
        <w:t xml:space="preserve">Klausurtermin Hälfte 1: eigene Zwischenklausur nach Woche 5 oder eine Gesamtklausur am Modulende?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595959"/>
        <w:sz w:val="18"/>
        <w:szCs w:val="18"/>
      </w:rPr>
      <w:t xml:space="preserve">bfw Lübeck · Modul L (LF11) · Planungsdokument · Seite </w:t>
    </w:r>
    <w:r>
      <w:rPr>
        <w:rFonts w:ascii="Calibri" w:cs="Calibri" w:eastAsia="Calibri" w:hAnsi="Calibri"/>
        <w:color w:val="595959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2026-07-02T11:45:10.533Z</dcterms:created>
  <dcterms:modified xsi:type="dcterms:W3CDTF">2026-07-02T11:45:10.533Z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