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3366"/>
          <w:sz w:val="34"/>
          <w:szCs w:val="34"/>
        </w:rPr>
        <w:t xml:space="preserve">SIEM &amp; Incident Response</w:t>
      </w:r>
    </w:p>
    <w:p>
      <w:pPr>
        <w:spacing w:after="40"/>
      </w:pPr>
      <w:r>
        <w:rPr>
          <w:rFonts w:ascii="Calibri" w:cs="Calibri" w:eastAsia="Calibri" w:hAnsi="Calibri"/>
          <w:color w:val="0066AA"/>
          <w:sz w:val="25"/>
          <w:szCs w:val="25"/>
        </w:rPr>
        <w:t xml:space="preserve">Handout zur Etappe 9 · Modul L (Lernfeld 11)</w:t>
      </w:r>
    </w:p>
    <w:p>
      <w:pPr>
        <w:pBdr>
          <w:bottom w:val="single" w:color="F0A500" w:sz="12"/>
        </w:pBdr>
        <w:spacing w:after="200"/>
      </w:pPr>
      <w:r>
        <w:rPr>
          <w:rFonts w:ascii="Calibri" w:cs="Calibri" w:eastAsia="Calibri" w:hAnsi="Calibri"/>
          <w:color w:val="595959"/>
          <w:sz w:val="20"/>
          <w:szCs w:val="20"/>
        </w:rPr>
        <w:t xml:space="preserve">FISI · bfw Lübeck · Juli 2026</w:t>
      </w:r>
    </w:p>
    <w:p>
      <w:pPr>
        <w:pStyle w:val="Heading1"/>
        <w:pBdr>
          <w:bottom w:val="single" w:color="F0A500" w:sz="8"/>
        </w:pBdr>
        <w:spacing w:after="140" w:before="320"/>
      </w:pPr>
      <w:r>
        <w:rPr>
          <w:rFonts w:ascii="Calibri" w:cs="Calibri" w:eastAsia="Calibri" w:hAnsi="Calibri"/>
          <w:b/>
          <w:bCs/>
          <w:color w:val="003366"/>
          <w:sz w:val="28"/>
          <w:szCs w:val="28"/>
        </w:rPr>
        <w:t xml:space="preserve">1. Vom Logserver zum SIEM</w:t>
      </w:r>
    </w:p>
    <w:p>
      <w:pPr>
        <w:spacing w:after="130" w:line="276"/>
      </w:pPr>
      <w:r>
        <w:rPr>
          <w:rFonts w:ascii="Calibri" w:cs="Calibri" w:eastAsia="Calibri" w:hAnsi="Calibri"/>
          <w:b w:val="false"/>
          <w:bCs w:val="false"/>
          <w:i w:val="false"/>
          <w:iCs w:val="false"/>
          <w:color w:val="222222"/>
          <w:sz w:val="22"/>
          <w:szCs w:val="22"/>
        </w:rPr>
        <w:t xml:space="preserve">In Etappe 4 haben wir Logs zentral gesammelt. Damit ist die wichtigste Voraussetzung geschaffen – aber Sammeln allein schützt nicht: Ein Logserver speichert, ein SIEM versteht. SIEM steht für Security Information and Event Management. Ein SIEM nimmt Ereignisse aus vielen Quellen entgegen, bringt sie in eine einheitliche Form, speichert sie durchsuchbar, verknüpft zusammengehörende Ereignisse und schlägt Alarm, wenn ein bekanntes Angriffsmuster auftritt.</w:t>
      </w:r>
    </w:p>
    <w:p>
      <w:pPr>
        <w:spacing w:after="130" w:line="276"/>
      </w:pPr>
      <w:r>
        <w:rPr>
          <w:rFonts w:ascii="Calibri" w:cs="Calibri" w:eastAsia="Calibri" w:hAnsi="Calibri"/>
          <w:b w:val="false"/>
          <w:bCs w:val="false"/>
          <w:i w:val="false"/>
          <w:iCs w:val="false"/>
          <w:color w:val="222222"/>
          <w:sz w:val="22"/>
          <w:szCs w:val="22"/>
        </w:rPr>
        <w:t xml:space="preserve">Der eigentliche Mehrwert liegt in der Korrelation: Fehlgeschlagene Anmeldungen auf einem Server, dieselbe Quelladresse am Switch und ein ungewöhnlicher Datenabfluss sind einzeln betrachtet drei unauffällige Meldungen – zusammen betrachtet sind sie ein Vorfall. Damit das funktioniert, müssen zwei Grundlagen stimmen: eine gemeinsame Zeitbasis (NTP) auf allen Systemen und eine bewusst geplante Aufbewahrungsdauer, denn Log-Daten wachsen schnell.</w:t>
      </w:r>
    </w:p>
    <w:tbl>
      <w:tblPr>
        <w:tblW w:type="dxa" w:w="9026"/>
        <w:tblBorders>
          <w:top w:val="single" w:color="0066AA" w:sz="12"/>
          <w:left w:val="single" w:color="0066AA" w:sz="12"/>
          <w:bottom w:val="single" w:color="0066AA" w:sz="12"/>
          <w:right w:val="single" w:color="0066AA" w:sz="12"/>
          <w:insideH w:val="none" w:color="FFFFFF" w:sz="0"/>
          <w:insideV w:val="none" w:color="FFFFFF" w:sz="0"/>
        </w:tblBorders>
      </w:tblPr>
      <w:tblGrid>
        <w:gridCol w:w="9026"/>
      </w:tblGrid>
      <w:tr>
        <w:tc>
          <w:tcPr>
            <w:tcW w:type="dxa" w:w="9026"/>
            <w:shd w:fill="EEF5FB" w:val="clear"/>
            <w:tcMar>
              <w:top w:type="dxa" w:w="120"/>
              <w:left w:type="dxa" w:w="160"/>
              <w:bottom w:type="dxa" w:w="120"/>
              <w:right w:type="dxa" w:w="160"/>
            </w:tcMar>
          </w:tcPr>
          <w:p>
            <w:pPr>
              <w:spacing w:after="80"/>
            </w:pPr>
            <w:r>
              <w:rPr>
                <w:rFonts w:ascii="Calibri" w:cs="Calibri" w:eastAsia="Calibri" w:hAnsi="Calibri"/>
                <w:b/>
                <w:bCs/>
                <w:color w:val="003366"/>
                <w:sz w:val="22"/>
                <w:szCs w:val="22"/>
              </w:rPr>
              <w:t xml:space="preserve">Was ein SIEM NICHT leistet</w:t>
            </w:r>
          </w:p>
          <w:p>
            <w:pPr>
              <w:spacing w:after="60" w:line="276"/>
            </w:pPr>
            <w:r>
              <w:rPr>
                <w:rFonts w:ascii="Calibri" w:cs="Calibri" w:eastAsia="Calibri" w:hAnsi="Calibri"/>
                <w:color w:val="222222"/>
                <w:sz w:val="22"/>
                <w:szCs w:val="22"/>
              </w:rPr>
              <w:t xml:space="preserve">Ein SIEM erkennt – verhindern müssen andere Maßnahmen. Es ersetzt weder die Härtung der Systeme (Etappen 4 und 8) noch ein funktionierendes Backup (Etappen 2 und 7). Ein SIEM ohne gepflegte Regeln und ohne jemanden, der die Alarme liest, ist reiner Speicherverbrauch.</w:t>
            </w:r>
          </w:p>
        </w:tc>
      </w:tr>
    </w:tbl>
    <w:p>
      <w:pPr>
        <w:pStyle w:val="Heading1"/>
        <w:pBdr>
          <w:bottom w:val="single" w:color="F0A500" w:sz="8"/>
        </w:pBdr>
        <w:spacing w:after="140" w:before="320"/>
      </w:pPr>
      <w:r>
        <w:rPr>
          <w:rFonts w:ascii="Calibri" w:cs="Calibri" w:eastAsia="Calibri" w:hAnsi="Calibri"/>
          <w:b/>
          <w:bCs/>
          <w:color w:val="003366"/>
          <w:sz w:val="28"/>
          <w:szCs w:val="28"/>
        </w:rPr>
        <w:t xml:space="preserve">2. Graylog: die zentralen Begriffe</w:t>
      </w:r>
    </w:p>
    <w:p>
      <w:pPr>
        <w:spacing w:after="130" w:line="276"/>
      </w:pPr>
      <w:r>
        <w:rPr>
          <w:rFonts w:ascii="Calibri" w:cs="Calibri" w:eastAsia="Calibri" w:hAnsi="Calibri"/>
          <w:b w:val="false"/>
          <w:bCs w:val="false"/>
          <w:i w:val="false"/>
          <w:iCs w:val="false"/>
          <w:color w:val="222222"/>
          <w:sz w:val="22"/>
          <w:szCs w:val="22"/>
        </w:rPr>
        <w:t xml:space="preserve">Ein Input ist der Eingang, auf dem Graylog Nachrichten entgegennimmt – etwa ein Syslog-Empfänger für Netzwerkgeräte und Linux-Systeme. Ein Stream ist eine Regel, die eingehende Nachrichten sortiert, beispielsweise alle Windows-Anmeldeereignisse in einen eigenen Kanal. Der Index ist die Ablage der Daten samt Aufbewahrungsregel; hier wird festgelegt, wie lange Ereignisse vorgehalten werden. Ein Alert (in neueren Versionen als Event Definition bezeichnet) löst aus, wenn ein definiertes Muster auftritt – etwa fünf fehlgeschlagene Anmeldungen innerhalb von zwei Minuten. Ein Dashboard fasst wichtige Kennzahlen grafisch zusammen.</w:t>
      </w:r>
    </w:p>
    <w:p>
      <w:pPr>
        <w:spacing w:after="130" w:line="276"/>
      </w:pPr>
      <w:r>
        <w:rPr>
          <w:rFonts w:ascii="Calibri" w:cs="Calibri" w:eastAsia="Calibri" w:hAnsi="Calibri"/>
          <w:b w:val="false"/>
          <w:bCs w:val="false"/>
          <w:i w:val="false"/>
          <w:iCs w:val="false"/>
          <w:color w:val="222222"/>
          <w:sz w:val="22"/>
          <w:szCs w:val="22"/>
        </w:rPr>
        <w:t xml:space="preserve">Der Weg einer Nachricht durch das System lautet damit: Input, Stream, Index, gegebenenfalls Alert, und schließlich Darstellung im Dashboard.</w:t>
      </w:r>
    </w:p>
    <w:p>
      <w:pPr>
        <w:pStyle w:val="Heading1"/>
        <w:pBdr>
          <w:bottom w:val="single" w:color="F0A500" w:sz="8"/>
        </w:pBdr>
        <w:spacing w:after="140" w:before="320"/>
      </w:pPr>
      <w:r>
        <w:rPr>
          <w:rFonts w:ascii="Calibri" w:cs="Calibri" w:eastAsia="Calibri" w:hAnsi="Calibri"/>
          <w:b/>
          <w:bCs/>
          <w:color w:val="003366"/>
          <w:sz w:val="28"/>
          <w:szCs w:val="28"/>
        </w:rPr>
        <w:t xml:space="preserve">3. Korrelation: Regeln, die sich lohnen</w:t>
      </w:r>
    </w:p>
    <w:p>
      <w:pPr>
        <w:spacing w:after="130" w:line="276"/>
      </w:pPr>
      <w:r>
        <w:rPr>
          <w:rFonts w:ascii="Calibri" w:cs="Calibri" w:eastAsia="Calibri" w:hAnsi="Calibri"/>
          <w:b w:val="false"/>
          <w:bCs w:val="false"/>
          <w:i w:val="false"/>
          <w:iCs w:val="false"/>
          <w:color w:val="222222"/>
          <w:sz w:val="22"/>
          <w:szCs w:val="22"/>
        </w:rPr>
        <w:t xml:space="preserve">Sinnvolle Korrelationsregeln orientieren sich an realen Angriffsmustern. Eine Serie fehlgeschlagener Anmeldungen, gefolgt von einer erfolgreichen von derselben Adresse, deutet auf einen erfolgreichen Brute-Force-Angriff hin – genau das Muster aus der Log-Übung in Etappe 4. Anmeldungen außerhalb der üblichen Arbeitszeiten oder aus untypischen Netzbereichen sind ein zweiter Ansatz, erzeugen aber leicht Fehlalarme und müssen an den eigenen Betrieb angepasst werden. Besonders aussagekräftig ist eine Rechteausweitung oder Kontoänderung kurz nach einer Anmeldung, denn dort sichert sich ein Angreifer typischerweise seine Position.</w:t>
      </w:r>
    </w:p>
    <w:p>
      <w:pPr>
        <w:spacing w:after="130" w:line="276"/>
      </w:pPr>
      <w:r>
        <w:rPr>
          <w:rFonts w:ascii="Calibri" w:cs="Calibri" w:eastAsia="Calibri" w:hAnsi="Calibri"/>
          <w:b w:val="false"/>
          <w:bCs w:val="false"/>
          <w:i w:val="false"/>
          <w:iCs w:val="false"/>
          <w:color w:val="222222"/>
          <w:sz w:val="22"/>
          <w:szCs w:val="22"/>
        </w:rPr>
        <w:t xml:space="preserve">Dabei gilt dieselbe Faustregel wie beim Monitoring in Etappe 3: Lieber wenige, gut begründete Regeln als viele, die niemand mehr beachtet. Alarmmüdigkeit ist der häufigste Grund, warum ein SIEM in der Praxis wirkungslos bleibt.</w:t>
      </w:r>
    </w:p>
    <w:p>
      <w:pPr>
        <w:pStyle w:val="Heading1"/>
        <w:pBdr>
          <w:bottom w:val="single" w:color="F0A500" w:sz="8"/>
        </w:pBdr>
        <w:spacing w:after="140" w:before="320"/>
      </w:pPr>
      <w:r>
        <w:rPr>
          <w:rFonts w:ascii="Calibri" w:cs="Calibri" w:eastAsia="Calibri" w:hAnsi="Calibri"/>
          <w:b/>
          <w:bCs/>
          <w:color w:val="003366"/>
          <w:sz w:val="28"/>
          <w:szCs w:val="28"/>
        </w:rPr>
        <w:t xml:space="preserve">4. Incident Response: die Phasen</w:t>
      </w:r>
    </w:p>
    <w:p>
      <w:pPr>
        <w:spacing w:after="130" w:line="276"/>
      </w:pPr>
      <w:r>
        <w:rPr>
          <w:rFonts w:ascii="Calibri" w:cs="Calibri" w:eastAsia="Calibri" w:hAnsi="Calibri"/>
          <w:b w:val="false"/>
          <w:bCs w:val="false"/>
          <w:i w:val="false"/>
          <w:iCs w:val="false"/>
          <w:color w:val="222222"/>
          <w:sz w:val="22"/>
          <w:szCs w:val="22"/>
        </w:rPr>
        <w:t xml:space="preserve">Die Reaktion auf einen Sicherheitsvorfall folgt einem festen Ablauf. In der Vorbereitung werden Notfallpläne, Kontaktlisten, Zuständigkeiten und Zugriffsrechte geregelt und geübt. Die Erkennung erfolgt über Monitoring, SIEM oder durch Meldungen von Nutzern. In der Eindämmung wird die Ausbreitung gestoppt: betroffene Systeme isolieren, Konten sperren, Verbindungen trennen. Erst in der Beseitigung wird die Ursache entfernt und die ausgenutzte Schwachstelle geschlossen. Die Wiederherstellung bringt den Betrieb zurück – bei schwerwiegenden Vorfällen durch sauberes Neuaufsetzen und Restore aus einer vertrauenswürdigen Sicherung. Die Nachbereitung schließt den Vorfall mit Bericht, Auswertung und abgeleiteten Maßnahmen ab.</w:t>
      </w:r>
    </w:p>
    <w:tbl>
      <w:tblPr>
        <w:tblW w:type="dxa" w:w="9026"/>
        <w:tblBorders>
          <w:top w:val="single" w:color="0066AA" w:sz="12"/>
          <w:left w:val="single" w:color="0066AA" w:sz="12"/>
          <w:bottom w:val="single" w:color="0066AA" w:sz="12"/>
          <w:right w:val="single" w:color="0066AA" w:sz="12"/>
          <w:insideH w:val="none" w:color="FFFFFF" w:sz="0"/>
          <w:insideV w:val="none" w:color="FFFFFF" w:sz="0"/>
        </w:tblBorders>
      </w:tblPr>
      <w:tblGrid>
        <w:gridCol w:w="9026"/>
      </w:tblGrid>
      <w:tr>
        <w:tc>
          <w:tcPr>
            <w:tcW w:type="dxa" w:w="9026"/>
            <w:shd w:fill="EEF5FB" w:val="clear"/>
            <w:tcMar>
              <w:top w:type="dxa" w:w="120"/>
              <w:left w:type="dxa" w:w="160"/>
              <w:bottom w:type="dxa" w:w="120"/>
              <w:right w:type="dxa" w:w="160"/>
            </w:tcMar>
          </w:tcPr>
          <w:p>
            <w:pPr>
              <w:spacing w:after="80"/>
            </w:pPr>
            <w:r>
              <w:rPr>
                <w:rFonts w:ascii="Calibri" w:cs="Calibri" w:eastAsia="Calibri" w:hAnsi="Calibri"/>
                <w:b/>
                <w:bCs/>
                <w:color w:val="003366"/>
                <w:sz w:val="22"/>
                <w:szCs w:val="22"/>
              </w:rPr>
              <w:t xml:space="preserve">Zwei Merksätze für die Praxis</w:t>
            </w:r>
          </w:p>
          <w:p>
            <w:pPr>
              <w:spacing w:after="60" w:line="276"/>
            </w:pPr>
            <w:r>
              <w:rPr>
                <w:rFonts w:ascii="Calibri" w:cs="Calibri" w:eastAsia="Calibri" w:hAnsi="Calibri"/>
                <w:color w:val="222222"/>
                <w:sz w:val="22"/>
                <w:szCs w:val="22"/>
              </w:rPr>
              <w:t xml:space="preserve">Eindämmung kommt vor Beseitigung: erst die Ausbreitung stoppen, dann die Ursache behandeln.</w:t>
            </w:r>
          </w:p>
          <w:p>
            <w:pPr>
              <w:spacing w:after="60" w:line="276"/>
            </w:pPr>
            <w:r>
              <w:rPr>
                <w:rFonts w:ascii="Calibri" w:cs="Calibri" w:eastAsia="Calibri" w:hAnsi="Calibri"/>
                <w:color w:val="222222"/>
                <w:sz w:val="22"/>
                <w:szCs w:val="22"/>
              </w:rPr>
              <w:t xml:space="preserve">Nicht vorschnell löschen oder neu installieren: Spuren werden für die Aufklärung und mögliche Meldungen benötigt. Systeme isolieren statt vernichten.</w:t>
            </w:r>
          </w:p>
        </w:tc>
      </w:tr>
    </w:tbl>
    <w:p>
      <w:pPr>
        <w:pStyle w:val="Heading1"/>
        <w:pBdr>
          <w:bottom w:val="single" w:color="F0A500" w:sz="8"/>
        </w:pBdr>
        <w:spacing w:after="140" w:before="320"/>
      </w:pPr>
      <w:r>
        <w:rPr>
          <w:rFonts w:ascii="Calibri" w:cs="Calibri" w:eastAsia="Calibri" w:hAnsi="Calibri"/>
          <w:b/>
          <w:bCs/>
          <w:color w:val="003366"/>
          <w:sz w:val="28"/>
          <w:szCs w:val="28"/>
        </w:rPr>
        <w:t xml:space="preserve">5. Meldepflichten</w:t>
      </w:r>
    </w:p>
    <w:p>
      <w:pPr>
        <w:spacing w:after="130" w:line="276"/>
      </w:pPr>
      <w:r>
        <w:rPr>
          <w:rFonts w:ascii="Calibri" w:cs="Calibri" w:eastAsia="Calibri" w:hAnsi="Calibri"/>
          <w:b w:val="false"/>
          <w:bCs w:val="false"/>
          <w:i w:val="false"/>
          <w:iCs w:val="false"/>
          <w:color w:val="222222"/>
          <w:sz w:val="22"/>
          <w:szCs w:val="22"/>
        </w:rPr>
        <w:t xml:space="preserve">Bei einer Verletzung des Schutzes personenbezogener Daten verlangt Artikel 33 DSGVO eine Meldung an die zuständige Aufsichtsbehörde – unverzüglich und möglichst binnen 72 Stunden nach Bekanntwerden. Besteht ein hohes Risiko für die betroffenen Personen, müssen diese nach Artikel 34 zusätzlich benachrichtigt werden. Entscheidend ist der Zeitpunkt des Bekanntwerdens, nicht der des Angriffs – frühe Erkennung ist damit auch eine rechtliche Frage.</w:t>
      </w:r>
    </w:p>
    <w:p>
      <w:pPr>
        <w:spacing w:after="130" w:line="276"/>
      </w:pPr>
      <w:r>
        <w:rPr>
          <w:rFonts w:ascii="Calibri" w:cs="Calibri" w:eastAsia="Calibri" w:hAnsi="Calibri"/>
          <w:b w:val="false"/>
          <w:bCs w:val="false"/>
          <w:i w:val="false"/>
          <w:iCs w:val="false"/>
          <w:color w:val="222222"/>
          <w:sz w:val="22"/>
          <w:szCs w:val="22"/>
        </w:rPr>
        <w:t xml:space="preserve">Darüber hinaus verpflichtet die europäische NIS2-Richtlinie bestimmte Einrichtungen zu verschärften Sicherheits- und Meldepflichten mit einem gestuften Verfahren aus kurzfristiger Frühwarnung und anschließender ausführlicher Meldung. Ob eine Organisation betroffen ist und welche Fristen konkret gelten, hängt von Sektor, Größe und der jeweiligen nationalen Umsetzung ab und ist im Einzelfall zu prüfen. Unabhängig von externen Meldepflichten gilt intern immer: Jeder Vorfall wird dokumentiert – Zeitpunkt, Umfang, getroffene Maßnahmen und Entscheidungen.</w:t>
      </w:r>
    </w:p>
    <w:p>
      <w:pPr>
        <w:pStyle w:val="Heading1"/>
        <w:pBdr>
          <w:bottom w:val="single" w:color="F0A500" w:sz="8"/>
        </w:pBdr>
        <w:spacing w:after="140" w:before="320"/>
      </w:pPr>
      <w:r>
        <w:rPr>
          <w:rFonts w:ascii="Calibri" w:cs="Calibri" w:eastAsia="Calibri" w:hAnsi="Calibri"/>
          <w:b/>
          <w:bCs/>
          <w:color w:val="003366"/>
          <w:sz w:val="28"/>
          <w:szCs w:val="28"/>
        </w:rPr>
        <w:t xml:space="preserve">6. Ransomware</w:t>
      </w:r>
    </w:p>
    <w:p>
      <w:pPr>
        <w:spacing w:after="130" w:line="276"/>
      </w:pPr>
      <w:r>
        <w:rPr>
          <w:rFonts w:ascii="Calibri" w:cs="Calibri" w:eastAsia="Calibri" w:hAnsi="Calibri"/>
          <w:b w:val="false"/>
          <w:bCs w:val="false"/>
          <w:i w:val="false"/>
          <w:iCs w:val="false"/>
          <w:color w:val="222222"/>
          <w:sz w:val="22"/>
          <w:szCs w:val="22"/>
        </w:rPr>
        <w:t xml:space="preserve">Ein typischer Ransomware-Vorfall verläuft in Stufen: Einstieg über Phishing, offene Fernwartungszugänge oder ungepatchte Schwachstellen; anschließend Ausbreitung im Netz und Rechteausweitung; danach gezieltes Aufspüren und Löschen erreichbarer Sicherungen; häufig ein Abfluss von Daten, um zusätzlich mit deren Veröffentlichung zu drohen; und erst zum Schluss die eigentliche Verschlüsselung mit Erpressung.</w:t>
      </w:r>
    </w:p>
    <w:p>
      <w:pPr>
        <w:spacing w:after="130" w:line="276"/>
      </w:pPr>
      <w:r>
        <w:rPr>
          <w:rFonts w:ascii="Calibri" w:cs="Calibri" w:eastAsia="Calibri" w:hAnsi="Calibri"/>
          <w:b w:val="false"/>
          <w:bCs w:val="false"/>
          <w:i w:val="false"/>
          <w:iCs w:val="false"/>
          <w:color w:val="222222"/>
          <w:sz w:val="22"/>
          <w:szCs w:val="22"/>
        </w:rPr>
        <w:t xml:space="preserve">Als Sofortmaßnahmen gelten: betroffene Systeme vom Netz isolieren, aber für die Beweissicherung erhalten; die Offline-Sicherungen prüfen – hier zahlt sich der Air Gap aus der Etappe 2 aus; Leitung und Krisenteam informieren; Meldepflichten prüfen; und keine Zahlung ohne Entscheidung der Leitung, da eine Zahlung weder die Entschlüsselung noch das Ausbleiben einer Veröffentlichung garantiert. Ob ein Betrieb wieder handlungsfähig wird, entscheidet sich in der Regel nicht am Angriffstag, sondern an dem Tag, an dem das Backupkonzept gebaut und der Restore tatsächlich gemessen wurde.</w:t>
      </w:r>
    </w:p>
    <w:p>
      <w:pPr>
        <w:pStyle w:val="Heading1"/>
        <w:pBdr>
          <w:bottom w:val="single" w:color="F0A500" w:sz="8"/>
        </w:pBdr>
        <w:spacing w:after="140" w:before="320"/>
      </w:pPr>
      <w:r>
        <w:rPr>
          <w:rFonts w:ascii="Calibri" w:cs="Calibri" w:eastAsia="Calibri" w:hAnsi="Calibri"/>
          <w:b/>
          <w:bCs/>
          <w:color w:val="003366"/>
          <w:sz w:val="28"/>
          <w:szCs w:val="28"/>
        </w:rPr>
        <w:t xml:space="preserve">7. Abkürzungsverzeichnis</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200"/>
        <w:gridCol w:w="6826"/>
      </w:tblGrid>
      <w:tr>
        <w:trPr>
          <w:tblHeader/>
        </w:trPr>
        <w:tc>
          <w:tcPr>
            <w:tcW w:type="dxa" w:w="2200"/>
            <w:shd w:fill="003366" w:val="clear"/>
            <w:tcMar>
              <w:top w:type="dxa" w:w="80"/>
              <w:left w:type="dxa" w:w="100"/>
              <w:bottom w:type="dxa" w:w="80"/>
              <w:right w:type="dxa" w:w="100"/>
            </w:tcMar>
          </w:tcPr>
          <w:p>
            <w:r>
              <w:rPr>
                <w:rFonts w:ascii="Calibri" w:cs="Calibri" w:eastAsia="Calibri" w:hAnsi="Calibri"/>
                <w:b/>
                <w:bCs/>
                <w:color w:val="FFFFFF"/>
                <w:sz w:val="20"/>
                <w:szCs w:val="20"/>
              </w:rPr>
              <w:t xml:space="preserve">Abkürzung</w:t>
            </w:r>
          </w:p>
        </w:tc>
        <w:tc>
          <w:tcPr>
            <w:tcW w:type="dxa" w:w="6826"/>
            <w:shd w:fill="003366" w:val="clear"/>
            <w:tcMar>
              <w:top w:type="dxa" w:w="80"/>
              <w:left w:type="dxa" w:w="100"/>
              <w:bottom w:type="dxa" w:w="80"/>
              <w:right w:type="dxa" w:w="100"/>
            </w:tcMar>
          </w:tcPr>
          <w:p>
            <w:r>
              <w:rPr>
                <w:rFonts w:ascii="Calibri" w:cs="Calibri" w:eastAsia="Calibri" w:hAnsi="Calibri"/>
                <w:b/>
                <w:bCs/>
                <w:color w:val="FFFFFF"/>
                <w:sz w:val="20"/>
                <w:szCs w:val="20"/>
              </w:rPr>
              <w:t xml:space="preserve">Bedeutung</w:t>
            </w:r>
          </w:p>
        </w:tc>
      </w:tr>
      <w:tr>
        <w:tc>
          <w:tcPr>
            <w:tcW w:type="dxa" w:w="22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BCM</w:t>
            </w:r>
          </w:p>
        </w:tc>
        <w:tc>
          <w:tcPr>
            <w:tcW w:type="dxa" w:w="68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Business Continuity Management – Notfall- und Kontinuitätsmanagement</w:t>
            </w:r>
          </w:p>
        </w:tc>
      </w:tr>
      <w:tr>
        <w:tc>
          <w:tcPr>
            <w:tcW w:type="dxa" w:w="2200"/>
            <w:shd w:fill="EEF5FB" w:val="clear"/>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DSGVO</w:t>
            </w:r>
          </w:p>
        </w:tc>
        <w:tc>
          <w:tcPr>
            <w:tcW w:type="dxa" w:w="6826"/>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Datenschutz-Grundverordnung</w:t>
            </w:r>
          </w:p>
        </w:tc>
      </w:tr>
      <w:tr>
        <w:tc>
          <w:tcPr>
            <w:tcW w:type="dxa" w:w="22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IR</w:t>
            </w:r>
          </w:p>
        </w:tc>
        <w:tc>
          <w:tcPr>
            <w:tcW w:type="dxa" w:w="68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Incident Response – Reaktion auf Sicherheitsvorfälle</w:t>
            </w:r>
          </w:p>
        </w:tc>
      </w:tr>
      <w:tr>
        <w:tc>
          <w:tcPr>
            <w:tcW w:type="dxa" w:w="2200"/>
            <w:shd w:fill="EEF5FB" w:val="clear"/>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IoC</w:t>
            </w:r>
          </w:p>
        </w:tc>
        <w:tc>
          <w:tcPr>
            <w:tcW w:type="dxa" w:w="6826"/>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Indicator of Compromise – Hinweis auf eine Kompromittierung</w:t>
            </w:r>
          </w:p>
        </w:tc>
      </w:tr>
      <w:tr>
        <w:tc>
          <w:tcPr>
            <w:tcW w:type="dxa" w:w="22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NIS2</w:t>
            </w:r>
          </w:p>
        </w:tc>
        <w:tc>
          <w:tcPr>
            <w:tcW w:type="dxa" w:w="68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EU-Richtlinie zur Netz- und Informationssicherheit (Nachfolgerin der NIS-Richtlinie)</w:t>
            </w:r>
          </w:p>
        </w:tc>
      </w:tr>
      <w:tr>
        <w:tc>
          <w:tcPr>
            <w:tcW w:type="dxa" w:w="2200"/>
            <w:shd w:fill="EEF5FB" w:val="clear"/>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NTP</w:t>
            </w:r>
          </w:p>
        </w:tc>
        <w:tc>
          <w:tcPr>
            <w:tcW w:type="dxa" w:w="6826"/>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Network Time Protocol – Zeitsynchronisation</w:t>
            </w:r>
          </w:p>
        </w:tc>
      </w:tr>
      <w:tr>
        <w:tc>
          <w:tcPr>
            <w:tcW w:type="dxa" w:w="2200"/>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SIEM</w:t>
            </w:r>
          </w:p>
        </w:tc>
        <w:tc>
          <w:tcPr>
            <w:tcW w:type="dxa" w:w="6826"/>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Security Information and Event Management</w:t>
            </w:r>
          </w:p>
        </w:tc>
      </w:tr>
      <w:tr>
        <w:tc>
          <w:tcPr>
            <w:tcW w:type="dxa" w:w="2200"/>
            <w:shd w:fill="EEF5FB" w:val="clear"/>
            <w:tcMar>
              <w:top w:type="dxa" w:w="80"/>
              <w:left w:type="dxa" w:w="100"/>
              <w:bottom w:type="dxa" w:w="80"/>
              <w:right w:type="dxa" w:w="100"/>
            </w:tcMar>
          </w:tcPr>
          <w:p>
            <w:pPr>
              <w:spacing w:line="260"/>
            </w:pPr>
            <w:r>
              <w:rPr>
                <w:rFonts w:ascii="Calibri" w:cs="Calibri" w:eastAsia="Calibri" w:hAnsi="Calibri"/>
                <w:b/>
                <w:bCs/>
                <w:color w:val="222222"/>
                <w:sz w:val="20"/>
                <w:szCs w:val="20"/>
              </w:rPr>
              <w:t xml:space="preserve">SOC</w:t>
            </w:r>
          </w:p>
        </w:tc>
        <w:tc>
          <w:tcPr>
            <w:tcW w:type="dxa" w:w="6826"/>
            <w:shd w:fill="EEF5FB" w:val="clear"/>
            <w:tcMar>
              <w:top w:type="dxa" w:w="80"/>
              <w:left w:type="dxa" w:w="100"/>
              <w:bottom w:type="dxa" w:w="80"/>
              <w:right w:type="dxa" w:w="100"/>
            </w:tcMar>
          </w:tcPr>
          <w:p>
            <w:pPr>
              <w:spacing w:line="260"/>
            </w:pPr>
            <w:r>
              <w:rPr>
                <w:rFonts w:ascii="Calibri" w:cs="Calibri" w:eastAsia="Calibri" w:hAnsi="Calibri"/>
                <w:b w:val="false"/>
                <w:bCs w:val="false"/>
                <w:color w:val="222222"/>
                <w:sz w:val="20"/>
                <w:szCs w:val="20"/>
              </w:rPr>
              <w:t xml:space="preserve">Security Operations Center – Einheit zur Überwachung der Sicherheit</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E9 SIEM &amp; Incident Response · Handout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2026-07-22T06:25:35.714Z</dcterms:created>
  <dcterms:modified xsi:type="dcterms:W3CDTF">2026-07-22T06:25:35.744Z</dcterms:modified>
</cp:coreProperties>
</file>

<file path=docProps/custom.xml><?xml version="1.0" encoding="utf-8"?>
<Properties xmlns="http://schemas.openxmlformats.org/officeDocument/2006/custom-properties" xmlns:vt="http://schemas.openxmlformats.org/officeDocument/2006/docPropsVTypes"/>
</file>