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3366"/>
          <w:sz w:val="34"/>
          <w:szCs w:val="34"/>
        </w:rPr>
        <w:t xml:space="preserve">Switch-Härtung am FS-Backbone</w:t>
      </w:r>
    </w:p>
    <w:p>
      <w:pPr>
        <w:spacing w:after="40"/>
      </w:pPr>
      <w:r>
        <w:rPr>
          <w:rFonts w:ascii="Calibri" w:cs="Calibri" w:eastAsia="Calibri" w:hAnsi="Calibri"/>
          <w:color w:val="0066AA"/>
          <w:sz w:val="25"/>
          <w:szCs w:val="25"/>
        </w:rPr>
        <w:t xml:space="preserve">Etappe 8 · Plenums-Übung unter Dozentenleitung · Modul L (Lernfeld 11)</w:t>
      </w:r>
    </w:p>
    <w:p>
      <w:pPr>
        <w:pBdr>
          <w:bottom w:val="single" w:color="F0A500" w:sz="12"/>
        </w:pBdr>
        <w:spacing w:after="200"/>
      </w:pPr>
      <w:r>
        <w:rPr>
          <w:rFonts w:ascii="Calibri" w:cs="Calibri" w:eastAsia="Calibri" w:hAnsi="Calibri"/>
          <w:color w:val="595959"/>
          <w:sz w:val="20"/>
          <w:szCs w:val="20"/>
        </w:rPr>
        <w:t xml:space="preserve">FISI · bfw Lübeck · Juli 2026 · FS S3900-48T6S-R · ca. 3 UE</w:t>
      </w:r>
    </w:p>
    <w:tbl>
      <w:tblPr>
        <w:tblW w:type="dxa" w:w="9026"/>
        <w:tblBorders>
          <w:top w:val="single" w:color="C0392B" w:sz="12"/>
          <w:left w:val="single" w:color="C0392B" w:sz="12"/>
          <w:bottom w:val="single" w:color="C0392B" w:sz="12"/>
          <w:right w:val="single" w:color="C0392B" w:sz="12"/>
          <w:insideH w:val="none" w:color="FFFFFF" w:sz="0"/>
          <w:insideV w:val="none" w:color="FFFFFF" w:sz="0"/>
        </w:tblBorders>
      </w:tblPr>
      <w:tblGrid>
        <w:gridCol w:w="9026"/>
      </w:tblGrid>
      <w:tr>
        <w:tc>
          <w:tcPr>
            <w:tcW w:type="dxa" w:w="9026"/>
            <w:shd w:fill="FBE9E7" w:val="clear"/>
            <w:tcMar>
              <w:top w:type="dxa" w:w="120"/>
              <w:left w:type="dxa" w:w="160"/>
              <w:bottom w:type="dxa" w:w="120"/>
              <w:right w:type="dxa" w:w="160"/>
            </w:tcMar>
          </w:tcPr>
          <w:p>
            <w:pPr>
              <w:spacing w:after="80"/>
            </w:pPr>
            <w:r>
              <w:rPr>
                <w:rFonts w:ascii="Calibri" w:cs="Calibri" w:eastAsia="Calibri" w:hAnsi="Calibri"/>
                <w:b/>
                <w:bCs/>
                <w:color w:val="C0392B"/>
                <w:sz w:val="22"/>
                <w:szCs w:val="22"/>
              </w:rPr>
              <w:t xml:space="preserve">⚠ Diese Übung findet AUSSCHLIESSLICH im Plenum statt</w:t>
            </w:r>
          </w:p>
          <w:p>
            <w:pPr>
              <w:spacing w:after="60" w:line="276"/>
            </w:pPr>
            <w:r>
              <w:rPr>
                <w:rFonts w:ascii="Calibri" w:cs="Calibri" w:eastAsia="Calibri" w:hAnsi="Calibri"/>
                <w:color w:val="222222"/>
                <w:sz w:val="22"/>
                <w:szCs w:val="22"/>
              </w:rPr>
              <w:t xml:space="preserve">Der FS-Switch ist der Backbone des gesamten Labs. Eine Fehlkonfiguration sperrt alle Gruppen aus und legt den Unterricht lahm. Deshalb: Der Dozent bedient die Konsole, die Teilnehmenden beobachten, protokollieren und begründen. Konsolenkabel liegt bereit, Config-Backup wird VOR jeder Änderung erstellt.</w:t>
            </w:r>
          </w:p>
        </w:tc>
      </w:tr>
    </w:tbl>
    <w:p>
      <w:pPr>
        <w:spacing w:after="140"/>
      </w:pPr>
    </w:p>
    <w:p>
      <w:pPr>
        <w:pStyle w:val="Heading1"/>
        <w:pBdr>
          <w:bottom w:val="single" w:color="F0A500" w:sz="8"/>
        </w:pBdr>
        <w:spacing w:after="140" w:before="320"/>
      </w:pPr>
      <w:r>
        <w:rPr>
          <w:rFonts w:ascii="Calibri" w:cs="Calibri" w:eastAsia="Calibri" w:hAnsi="Calibri"/>
          <w:b/>
          <w:bCs/>
          <w:color w:val="003366"/>
          <w:sz w:val="28"/>
          <w:szCs w:val="28"/>
        </w:rPr>
        <w:t xml:space="preserve">Ablauf</w:t>
      </w:r>
    </w:p>
    <w:p>
      <w:pPr>
        <w:pStyle w:val="ListParagraph"/>
        <w:numPr>
          <w:ilvl w:val="0"/>
          <w:numId w:val="2"/>
        </w:numPr>
        <w:spacing w:after="80" w:line="276"/>
      </w:pPr>
      <w:r>
        <w:rPr>
          <w:rFonts w:ascii="Calibri" w:cs="Calibri" w:eastAsia="Calibri" w:hAnsi="Calibri"/>
          <w:color w:val="222222"/>
          <w:sz w:val="22"/>
          <w:szCs w:val="22"/>
        </w:rPr>
        <w:t xml:space="preserve">Ausgangslage sichern: laufende Konfiguration anzeigen und sichern (Backup!).</w:t>
      </w:r>
    </w:p>
    <w:p>
      <w:pPr>
        <w:pStyle w:val="ListParagraph"/>
        <w:numPr>
          <w:ilvl w:val="0"/>
          <w:numId w:val="2"/>
        </w:numPr>
        <w:spacing w:after="80" w:line="276"/>
      </w:pPr>
      <w:r>
        <w:rPr>
          <w:rFonts w:ascii="Calibri" w:cs="Calibri" w:eastAsia="Calibri" w:hAnsi="Calibri"/>
          <w:color w:val="222222"/>
          <w:sz w:val="22"/>
          <w:szCs w:val="22"/>
        </w:rPr>
        <w:t xml:space="preserve">Ist-Aufnahme gemeinsam: Welche Ports sind aktiv? Welche Management-Zugänge sind offen? Welche SNMP-Version läuft?</w:t>
      </w:r>
    </w:p>
    <w:p>
      <w:pPr>
        <w:pStyle w:val="ListParagraph"/>
        <w:numPr>
          <w:ilvl w:val="0"/>
          <w:numId w:val="2"/>
        </w:numPr>
        <w:spacing w:after="80" w:line="276"/>
      </w:pPr>
      <w:r>
        <w:rPr>
          <w:rFonts w:ascii="Calibri" w:cs="Calibri" w:eastAsia="Calibri" w:hAnsi="Calibri"/>
          <w:color w:val="222222"/>
          <w:sz w:val="22"/>
          <w:szCs w:val="22"/>
        </w:rPr>
        <w:t xml:space="preserve">Maßnahmen einzeln umsetzen – nach jeder Maßnahme prüfen, ob das Lab noch funktioniert (Ping-Test aus jeder Gruppe!).</w:t>
      </w:r>
    </w:p>
    <w:p>
      <w:pPr>
        <w:pStyle w:val="ListParagraph"/>
        <w:numPr>
          <w:ilvl w:val="0"/>
          <w:numId w:val="2"/>
        </w:numPr>
        <w:spacing w:after="80" w:line="276"/>
      </w:pPr>
      <w:r>
        <w:rPr>
          <w:rFonts w:ascii="Calibri" w:cs="Calibri" w:eastAsia="Calibri" w:hAnsi="Calibri"/>
          <w:color w:val="222222"/>
          <w:sz w:val="22"/>
          <w:szCs w:val="22"/>
        </w:rPr>
        <w:t xml:space="preserve">Änderungen dokumentieren: Was wurde geändert, warum, mit welcher Wirkung?</w:t>
      </w:r>
    </w:p>
    <w:p>
      <w:pPr>
        <w:pStyle w:val="ListParagraph"/>
        <w:numPr>
          <w:ilvl w:val="0"/>
          <w:numId w:val="2"/>
        </w:numPr>
        <w:spacing w:after="80" w:line="276"/>
      </w:pPr>
      <w:r>
        <w:rPr>
          <w:rFonts w:ascii="Calibri" w:cs="Calibri" w:eastAsia="Calibri" w:hAnsi="Calibri"/>
          <w:color w:val="222222"/>
          <w:sz w:val="22"/>
          <w:szCs w:val="22"/>
        </w:rPr>
        <w:t xml:space="preserve">Abschluss: Konfiguration speichern und erneut sichern.</w:t>
      </w:r>
    </w:p>
    <w:p>
      <w:pPr>
        <w:spacing w:after="140"/>
      </w:pPr>
    </w:p>
    <w:p>
      <w:pPr>
        <w:pStyle w:val="Heading1"/>
        <w:pBdr>
          <w:bottom w:val="single" w:color="F0A500" w:sz="8"/>
        </w:pBdr>
        <w:spacing w:after="140" w:before="320"/>
      </w:pPr>
      <w:r>
        <w:rPr>
          <w:rFonts w:ascii="Calibri" w:cs="Calibri" w:eastAsia="Calibri" w:hAnsi="Calibri"/>
          <w:b/>
          <w:bCs/>
          <w:color w:val="003366"/>
          <w:sz w:val="28"/>
          <w:szCs w:val="28"/>
        </w:rPr>
        <w:t xml:space="preserve">Die Maßnahmen</w:t>
      </w:r>
    </w:p>
    <w:p>
      <w:pPr>
        <w:spacing w:after="130" w:line="276"/>
      </w:pPr>
      <w:r>
        <w:rPr>
          <w:rFonts w:ascii="Calibri" w:cs="Calibri" w:eastAsia="Calibri" w:hAnsi="Calibri"/>
          <w:b w:val="false"/>
          <w:bCs w:val="false"/>
          <w:i/>
          <w:iCs/>
          <w:color w:val="595959"/>
          <w:sz w:val="22"/>
          <w:szCs w:val="22"/>
        </w:rPr>
        <w:t xml:space="preserve">Reihenfolge bewusst gewählt: erst unkritische Maßnahmen, dann die mit Aussperrgefahr.</w:t>
      </w:r>
    </w:p>
    <w:p>
      <w:pPr>
        <w:pStyle w:val="Heading2"/>
        <w:spacing w:after="100" w:before="220"/>
      </w:pPr>
      <w:r>
        <w:rPr>
          <w:rFonts w:ascii="Calibri" w:cs="Calibri" w:eastAsia="Calibri" w:hAnsi="Calibri"/>
          <w:b/>
          <w:bCs/>
          <w:color w:val="0066AA"/>
          <w:sz w:val="24"/>
          <w:szCs w:val="24"/>
        </w:rPr>
        <w:t xml:space="preserve">1. Unbenutzte Ports schließen</w:t>
      </w:r>
    </w:p>
    <w:p>
      <w:pPr>
        <w:spacing w:after="130" w:line="276"/>
      </w:pPr>
      <w:r>
        <w:rPr>
          <w:rFonts w:ascii="Calibri" w:cs="Calibri" w:eastAsia="Calibri" w:hAnsi="Calibri"/>
          <w:b w:val="false"/>
          <w:bCs w:val="false"/>
          <w:i w:val="false"/>
          <w:iCs w:val="false"/>
          <w:color w:val="222222"/>
          <w:sz w:val="22"/>
          <w:szCs w:val="22"/>
        </w:rPr>
        <w:t xml:space="preserve">Ein offener, unbeaufsichtigter Port im Schulungsraum ist eine Einladung: Wer ein Kabel einsteckt, ist im Netz. Unbenutzte Ports werden deaktiviert und in ein Parking-VLAN gelegt, das nirgendwo hinführt.</w:t>
      </w: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9026"/>
      </w:tblGrid>
      <w:tr>
        <w:tc>
          <w:tcPr>
            <w:tcW w:type="dxa" w:w="9026"/>
            <w:tcMar>
              <w:top w:type="dxa" w:w="40"/>
              <w:left w:type="dxa" w:w="60"/>
              <w:bottom w:type="dxa" w:w="40"/>
              <w:right w:type="dxa" w:w="60"/>
            </w:tcMar>
          </w:tcPr>
          <w:p>
            <w:pPr>
              <w:shd w:fill="003366" w:val="clear"/>
              <w:spacing w:after="0"/>
            </w:pPr>
            <w:r>
              <w:rPr>
                <w:rFonts w:ascii="Consolas" w:cs="Consolas" w:eastAsia="Consolas" w:hAnsi="Consolas"/>
                <w:b/>
                <w:bCs/>
                <w:color w:val="FFFFFF"/>
                <w:sz w:val="17"/>
                <w:szCs w:val="17"/>
              </w:rPr>
              <w:t xml:space="preserve"> Prinzip (Cisco-nahe Syntax – Syntax am Gerät verifizieren)</w:t>
            </w:r>
          </w:p>
          <w:p>
            <w:pPr>
              <w:shd w:fill="1E1E2E" w:val="clear"/>
              <w:spacing w:after="0" w:line="240"/>
            </w:pPr>
            <w:r>
              <w:rPr>
                <w:rFonts w:ascii="Consolas" w:cs="Consolas" w:eastAsia="Consolas" w:hAnsi="Consolas"/>
                <w:color w:val="7BB37B"/>
                <w:sz w:val="16"/>
                <w:szCs w:val="16"/>
              </w:rPr>
              <w:t xml:space="preserve">! Parking-VLAN anlegen</w:t>
            </w:r>
          </w:p>
          <w:p>
            <w:pPr>
              <w:shd w:fill="1E1E2E" w:val="clear"/>
              <w:spacing w:after="0" w:line="240"/>
            </w:pPr>
            <w:r>
              <w:rPr>
                <w:rFonts w:ascii="Consolas" w:cs="Consolas" w:eastAsia="Consolas" w:hAnsi="Consolas"/>
                <w:color w:val="D6D6E0"/>
                <w:sz w:val="16"/>
                <w:szCs w:val="16"/>
              </w:rPr>
              <w:t xml:space="preserve">vlan 999</w:t>
            </w:r>
          </w:p>
          <w:p>
            <w:pPr>
              <w:shd w:fill="1E1E2E" w:val="clear"/>
              <w:spacing w:after="0" w:line="240"/>
            </w:pPr>
            <w:r>
              <w:rPr>
                <w:rFonts w:ascii="Consolas" w:cs="Consolas" w:eastAsia="Consolas" w:hAnsi="Consolas"/>
                <w:color w:val="D6D6E0"/>
                <w:sz w:val="16"/>
                <w:szCs w:val="16"/>
              </w:rPr>
              <w:t xml:space="preserve"> name PARKING-UNUSED</w:t>
            </w:r>
          </w:p>
          <w:p>
            <w:pPr>
              <w:shd w:fill="1E1E2E" w:val="clear"/>
              <w:spacing w:after="0" w:line="240"/>
            </w:pPr>
            <w:r>
              <w:rPr>
                <w:rFonts w:ascii="Consolas" w:cs="Consolas" w:eastAsia="Consolas" w:hAnsi="Consolas"/>
                <w:color w:val="7BB37B"/>
                <w:sz w:val="16"/>
                <w:szCs w:val="16"/>
              </w:rPr>
              <w:t xml:space="preserve">!</w:t>
            </w:r>
          </w:p>
          <w:p>
            <w:pPr>
              <w:shd w:fill="1E1E2E" w:val="clear"/>
              <w:spacing w:after="0" w:line="240"/>
            </w:pPr>
            <w:r>
              <w:rPr>
                <w:rFonts w:ascii="Consolas" w:cs="Consolas" w:eastAsia="Consolas" w:hAnsi="Consolas"/>
                <w:color w:val="7BB37B"/>
                <w:sz w:val="16"/>
                <w:szCs w:val="16"/>
              </w:rPr>
              <w:t xml:space="preserve">! Unbenutzte Ports parken und abschalten</w:t>
            </w:r>
          </w:p>
          <w:p>
            <w:pPr>
              <w:shd w:fill="1E1E2E" w:val="clear"/>
              <w:spacing w:after="0" w:line="240"/>
            </w:pPr>
            <w:r>
              <w:rPr>
                <w:rFonts w:ascii="Consolas" w:cs="Consolas" w:eastAsia="Consolas" w:hAnsi="Consolas"/>
                <w:color w:val="D6D6E0"/>
                <w:sz w:val="16"/>
                <w:szCs w:val="16"/>
              </w:rPr>
              <w:t xml:space="preserve">interface range &lt;ungenutzte Ports&gt;</w:t>
            </w:r>
          </w:p>
          <w:p>
            <w:pPr>
              <w:shd w:fill="1E1E2E" w:val="clear"/>
              <w:spacing w:after="0" w:line="240"/>
            </w:pPr>
            <w:r>
              <w:rPr>
                <w:rFonts w:ascii="Consolas" w:cs="Consolas" w:eastAsia="Consolas" w:hAnsi="Consolas"/>
                <w:color w:val="D6D6E0"/>
                <w:sz w:val="16"/>
                <w:szCs w:val="16"/>
              </w:rPr>
              <w:t xml:space="preserve"> switchport mode access</w:t>
            </w:r>
          </w:p>
          <w:p>
            <w:pPr>
              <w:shd w:fill="1E1E2E" w:val="clear"/>
              <w:spacing w:after="0" w:line="240"/>
            </w:pPr>
            <w:r>
              <w:rPr>
                <w:rFonts w:ascii="Consolas" w:cs="Consolas" w:eastAsia="Consolas" w:hAnsi="Consolas"/>
                <w:color w:val="D6D6E0"/>
                <w:sz w:val="16"/>
                <w:szCs w:val="16"/>
              </w:rPr>
              <w:t xml:space="preserve"> switchport access vlan 999</w:t>
            </w:r>
          </w:p>
          <w:p>
            <w:pPr>
              <w:shd w:fill="1E1E2E" w:val="clear"/>
              <w:spacing w:after="0" w:line="240"/>
            </w:pPr>
            <w:r>
              <w:rPr>
                <w:rFonts w:ascii="Consolas" w:cs="Consolas" w:eastAsia="Consolas" w:hAnsi="Consolas"/>
                <w:color w:val="D6D6E0"/>
                <w:sz w:val="16"/>
                <w:szCs w:val="16"/>
              </w:rPr>
              <w:t xml:space="preserve"> shutdown</w:t>
            </w:r>
          </w:p>
        </w:tc>
      </w:tr>
    </w:tbl>
    <w:p>
      <w:pPr>
        <w:pStyle w:val="Heading2"/>
        <w:spacing w:after="100" w:before="220"/>
      </w:pPr>
      <w:r>
        <w:rPr>
          <w:rFonts w:ascii="Calibri" w:cs="Calibri" w:eastAsia="Calibri" w:hAnsi="Calibri"/>
          <w:b/>
          <w:bCs/>
          <w:color w:val="0066AA"/>
          <w:sz w:val="24"/>
          <w:szCs w:val="24"/>
        </w:rPr>
        <w:t xml:space="preserve">2. SNMP absichern</w:t>
      </w:r>
    </w:p>
    <w:p>
      <w:pPr>
        <w:spacing w:after="130" w:line="276"/>
      </w:pPr>
      <w:r>
        <w:rPr>
          <w:rFonts w:ascii="Calibri" w:cs="Calibri" w:eastAsia="Calibri" w:hAnsi="Calibri"/>
          <w:b w:val="false"/>
          <w:bCs w:val="false"/>
          <w:i w:val="false"/>
          <w:iCs w:val="false"/>
          <w:color w:val="222222"/>
          <w:sz w:val="22"/>
          <w:szCs w:val="22"/>
        </w:rPr>
        <w:t xml:space="preserve">Aus Etappe 3 bekannt: SNMPv2c überträgt die Community im Klartext. Auf dem Backbone wird ausschließlich SNMPv3 mit Authentifizierung und Verschlüsselung verwendet; alte Communities werden entfernt.</w:t>
      </w: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9026"/>
      </w:tblGrid>
      <w:tr>
        <w:tc>
          <w:tcPr>
            <w:tcW w:type="dxa" w:w="9026"/>
            <w:tcMar>
              <w:top w:type="dxa" w:w="40"/>
              <w:left w:type="dxa" w:w="60"/>
              <w:bottom w:type="dxa" w:w="40"/>
              <w:right w:type="dxa" w:w="60"/>
            </w:tcMar>
          </w:tcPr>
          <w:p>
            <w:pPr>
              <w:shd w:fill="003366" w:val="clear"/>
              <w:spacing w:after="0"/>
            </w:pPr>
            <w:r>
              <w:rPr>
                <w:rFonts w:ascii="Consolas" w:cs="Consolas" w:eastAsia="Consolas" w:hAnsi="Consolas"/>
                <w:b/>
                <w:bCs/>
                <w:color w:val="FFFFFF"/>
                <w:sz w:val="17"/>
                <w:szCs w:val="17"/>
              </w:rPr>
              <w:t xml:space="preserve"> Prinzip</w:t>
            </w:r>
          </w:p>
          <w:p>
            <w:pPr>
              <w:shd w:fill="1E1E2E" w:val="clear"/>
              <w:spacing w:after="0" w:line="240"/>
            </w:pPr>
            <w:r>
              <w:rPr>
                <w:rFonts w:ascii="Consolas" w:cs="Consolas" w:eastAsia="Consolas" w:hAnsi="Consolas"/>
                <w:color w:val="7BB37B"/>
                <w:sz w:val="16"/>
                <w:szCs w:val="16"/>
              </w:rPr>
              <w:t xml:space="preserve">! Alte v2c-Community entfernen</w:t>
            </w:r>
          </w:p>
          <w:p>
            <w:pPr>
              <w:shd w:fill="1E1E2E" w:val="clear"/>
              <w:spacing w:after="0" w:line="240"/>
            </w:pPr>
            <w:r>
              <w:rPr>
                <w:rFonts w:ascii="Consolas" w:cs="Consolas" w:eastAsia="Consolas" w:hAnsi="Consolas"/>
                <w:color w:val="D6D6E0"/>
                <w:sz w:val="16"/>
                <w:szCs w:val="16"/>
              </w:rPr>
              <w:t xml:space="preserve">no snmp-server community &lt;alte-community&gt;</w:t>
            </w:r>
          </w:p>
          <w:p>
            <w:pPr>
              <w:shd w:fill="1E1E2E" w:val="clear"/>
              <w:spacing w:after="0" w:line="240"/>
            </w:pPr>
            <w:r>
              <w:rPr>
                <w:rFonts w:ascii="Consolas" w:cs="Consolas" w:eastAsia="Consolas" w:hAnsi="Consolas"/>
                <w:color w:val="7BB37B"/>
                <w:sz w:val="16"/>
                <w:szCs w:val="16"/>
              </w:rPr>
              <w:t xml:space="preserve">!</w:t>
            </w:r>
          </w:p>
          <w:p>
            <w:pPr>
              <w:shd w:fill="1E1E2E" w:val="clear"/>
              <w:spacing w:after="0" w:line="240"/>
            </w:pPr>
            <w:r>
              <w:rPr>
                <w:rFonts w:ascii="Consolas" w:cs="Consolas" w:eastAsia="Consolas" w:hAnsi="Consolas"/>
                <w:color w:val="7BB37B"/>
                <w:sz w:val="16"/>
                <w:szCs w:val="16"/>
              </w:rPr>
              <w:t xml:space="preserve">! SNMPv3: Gruppe und Benutzer mit Auth + Verschluesselung</w:t>
            </w:r>
          </w:p>
          <w:p>
            <w:pPr>
              <w:shd w:fill="1E1E2E" w:val="clear"/>
              <w:spacing w:after="0" w:line="240"/>
            </w:pPr>
            <w:r>
              <w:rPr>
                <w:rFonts w:ascii="Consolas" w:cs="Consolas" w:eastAsia="Consolas" w:hAnsi="Consolas"/>
                <w:color w:val="D6D6E0"/>
                <w:sz w:val="16"/>
                <w:szCs w:val="16"/>
              </w:rPr>
              <w:t xml:space="preserve">snmp-server group MONITOR v3 priv</w:t>
            </w:r>
          </w:p>
          <w:p>
            <w:pPr>
              <w:shd w:fill="1E1E2E" w:val="clear"/>
              <w:spacing w:after="0" w:line="240"/>
            </w:pPr>
            <w:r>
              <w:rPr>
                <w:rFonts w:ascii="Consolas" w:cs="Consolas" w:eastAsia="Consolas" w:hAnsi="Consolas"/>
                <w:color w:val="D6D6E0"/>
                <w:sz w:val="16"/>
                <w:szCs w:val="16"/>
              </w:rPr>
              <w:t xml:space="preserve">snmp-server user mon-lab MONITOR v3 auth sha &lt;AuthPass&gt; priv aes 128 &lt;PrivPass&gt;</w:t>
            </w:r>
          </w:p>
        </w:tc>
      </w:tr>
    </w:tbl>
    <w:tbl>
      <w:tblPr>
        <w:tblW w:type="dxa" w:w="9026"/>
        <w:tblBorders>
          <w:top w:val="single" w:color="0066AA" w:sz="12"/>
          <w:left w:val="single" w:color="0066AA" w:sz="12"/>
          <w:bottom w:val="single" w:color="0066AA" w:sz="12"/>
          <w:right w:val="single" w:color="0066AA" w:sz="12"/>
          <w:insideH w:val="none" w:color="FFFFFF" w:sz="0"/>
          <w:insideV w:val="none" w:color="FFFFFF" w:sz="0"/>
        </w:tblBorders>
      </w:tblPr>
      <w:tblGrid>
        <w:gridCol w:w="9026"/>
      </w:tblGrid>
      <w:tr>
        <w:tc>
          <w:tcPr>
            <w:tcW w:type="dxa" w:w="9026"/>
            <w:shd w:fill="EEF5FB" w:val="clear"/>
            <w:tcMar>
              <w:top w:type="dxa" w:w="120"/>
              <w:left w:type="dxa" w:w="160"/>
              <w:bottom w:type="dxa" w:w="120"/>
              <w:right w:type="dxa" w:w="160"/>
            </w:tcMar>
          </w:tcPr>
          <w:p>
            <w:pPr>
              <w:spacing w:after="80"/>
            </w:pPr>
            <w:r>
              <w:rPr>
                <w:rFonts w:ascii="Calibri" w:cs="Calibri" w:eastAsia="Calibri" w:hAnsi="Calibri"/>
                <w:b/>
                <w:bCs/>
                <w:color w:val="003366"/>
                <w:sz w:val="22"/>
                <w:szCs w:val="22"/>
              </w:rPr>
              <w:t xml:space="preserve">Warum das im Unterricht sichtbar sein muss</w:t>
            </w:r>
          </w:p>
          <w:p>
            <w:pPr>
              <w:spacing w:after="60" w:line="276"/>
            </w:pPr>
            <w:r>
              <w:rPr>
                <w:rFonts w:ascii="Calibri" w:cs="Calibri" w:eastAsia="Calibri" w:hAnsi="Calibri"/>
                <w:color w:val="222222"/>
                <w:sz w:val="22"/>
                <w:szCs w:val="22"/>
              </w:rPr>
              <w:t xml:space="preserve">Nach dieser Änderung müssen die Monitoring-Instanzen der Gruppen (Etappe 3) angepasst werden – sonst sehen sie den Switch nicht mehr. Das ist kein Fehler, sondern der Lerneffekt: Sicherheitsänderungen haben Betriebsauswirkungen und gehören deshalb ins Change-Management.</w:t>
            </w:r>
          </w:p>
        </w:tc>
      </w:tr>
    </w:tbl>
    <w:p>
      <w:pPr>
        <w:pStyle w:val="Heading2"/>
        <w:spacing w:after="100" w:before="220"/>
      </w:pPr>
      <w:r>
        <w:rPr>
          <w:rFonts w:ascii="Calibri" w:cs="Calibri" w:eastAsia="Calibri" w:hAnsi="Calibri"/>
          <w:b/>
          <w:bCs/>
          <w:color w:val="0066AA"/>
          <w:sz w:val="24"/>
          <w:szCs w:val="24"/>
        </w:rPr>
        <w:t xml:space="preserve">3. Management-Zugriff einschränken</w:t>
      </w:r>
    </w:p>
    <w:p>
      <w:pPr>
        <w:spacing w:after="130" w:line="276"/>
      </w:pPr>
      <w:r>
        <w:rPr>
          <w:rFonts w:ascii="Calibri" w:cs="Calibri" w:eastAsia="Calibri" w:hAnsi="Calibri"/>
          <w:b w:val="false"/>
          <w:bCs w:val="false"/>
          <w:i w:val="false"/>
          <w:iCs w:val="false"/>
          <w:color w:val="222222"/>
          <w:sz w:val="22"/>
          <w:szCs w:val="22"/>
        </w:rPr>
        <w:t xml:space="preserve">Der Verwaltungszugang wird auf sichere Protokolle und auf berechtigte Quellen begrenzt: SSH statt Telnet, Zugriff nur aus dem Management-Netz, automatische Trennung nach Leerlauf.</w:t>
      </w: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9026"/>
      </w:tblGrid>
      <w:tr>
        <w:tc>
          <w:tcPr>
            <w:tcW w:type="dxa" w:w="9026"/>
            <w:tcMar>
              <w:top w:type="dxa" w:w="40"/>
              <w:left w:type="dxa" w:w="60"/>
              <w:bottom w:type="dxa" w:w="40"/>
              <w:right w:type="dxa" w:w="60"/>
            </w:tcMar>
          </w:tcPr>
          <w:p>
            <w:pPr>
              <w:shd w:fill="003366" w:val="clear"/>
              <w:spacing w:after="0"/>
            </w:pPr>
            <w:r>
              <w:rPr>
                <w:rFonts w:ascii="Consolas" w:cs="Consolas" w:eastAsia="Consolas" w:hAnsi="Consolas"/>
                <w:b/>
                <w:bCs/>
                <w:color w:val="FFFFFF"/>
                <w:sz w:val="17"/>
                <w:szCs w:val="17"/>
              </w:rPr>
              <w:t xml:space="preserve"> Prinzip</w:t>
            </w:r>
          </w:p>
          <w:p>
            <w:pPr>
              <w:shd w:fill="1E1E2E" w:val="clear"/>
              <w:spacing w:after="0" w:line="240"/>
            </w:pPr>
            <w:r>
              <w:rPr>
                <w:rFonts w:ascii="Consolas" w:cs="Consolas" w:eastAsia="Consolas" w:hAnsi="Consolas"/>
                <w:color w:val="7BB37B"/>
                <w:sz w:val="16"/>
                <w:szCs w:val="16"/>
              </w:rPr>
              <w:t xml:space="preserve">! Nur SSH auf den Verwaltungsleitungen</w:t>
            </w:r>
          </w:p>
          <w:p>
            <w:pPr>
              <w:shd w:fill="1E1E2E" w:val="clear"/>
              <w:spacing w:after="0" w:line="240"/>
            </w:pPr>
            <w:r>
              <w:rPr>
                <w:rFonts w:ascii="Consolas" w:cs="Consolas" w:eastAsia="Consolas" w:hAnsi="Consolas"/>
                <w:color w:val="D6D6E0"/>
                <w:sz w:val="16"/>
                <w:szCs w:val="16"/>
              </w:rPr>
              <w:t xml:space="preserve">line vty 0 15</w:t>
            </w:r>
          </w:p>
          <w:p>
            <w:pPr>
              <w:shd w:fill="1E1E2E" w:val="clear"/>
              <w:spacing w:after="0" w:line="240"/>
            </w:pPr>
            <w:r>
              <w:rPr>
                <w:rFonts w:ascii="Consolas" w:cs="Consolas" w:eastAsia="Consolas" w:hAnsi="Consolas"/>
                <w:color w:val="D6D6E0"/>
                <w:sz w:val="16"/>
                <w:szCs w:val="16"/>
              </w:rPr>
              <w:t xml:space="preserve"> transport input ssh</w:t>
            </w:r>
          </w:p>
          <w:p>
            <w:pPr>
              <w:shd w:fill="1E1E2E" w:val="clear"/>
              <w:spacing w:after="0" w:line="240"/>
            </w:pPr>
            <w:r>
              <w:rPr>
                <w:rFonts w:ascii="Consolas" w:cs="Consolas" w:eastAsia="Consolas" w:hAnsi="Consolas"/>
                <w:color w:val="D6D6E0"/>
                <w:sz w:val="16"/>
                <w:szCs w:val="16"/>
              </w:rPr>
              <w:t xml:space="preserve"> exec-timeout 5 0</w:t>
            </w:r>
          </w:p>
          <w:p>
            <w:pPr>
              <w:shd w:fill="1E1E2E" w:val="clear"/>
              <w:spacing w:after="0" w:line="240"/>
            </w:pPr>
            <w:r>
              <w:rPr>
                <w:rFonts w:ascii="Consolas" w:cs="Consolas" w:eastAsia="Consolas" w:hAnsi="Consolas"/>
                <w:color w:val="7BB37B"/>
                <w:sz w:val="16"/>
                <w:szCs w:val="16"/>
              </w:rPr>
              <w:t xml:space="preserve">!</w:t>
            </w:r>
          </w:p>
          <w:p>
            <w:pPr>
              <w:shd w:fill="1E1E2E" w:val="clear"/>
              <w:spacing w:after="0" w:line="240"/>
            </w:pPr>
            <w:r>
              <w:rPr>
                <w:rFonts w:ascii="Consolas" w:cs="Consolas" w:eastAsia="Consolas" w:hAnsi="Consolas"/>
                <w:color w:val="7BB37B"/>
                <w:sz w:val="16"/>
                <w:szCs w:val="16"/>
              </w:rPr>
              <w:t xml:space="preserve">! Zugriff auf das Management-Netz begrenzen (Zugriffsliste)</w:t>
            </w:r>
          </w:p>
          <w:p>
            <w:pPr>
              <w:shd w:fill="1E1E2E" w:val="clear"/>
              <w:spacing w:after="0" w:line="240"/>
            </w:pPr>
            <w:r>
              <w:rPr>
                <w:rFonts w:ascii="Consolas" w:cs="Consolas" w:eastAsia="Consolas" w:hAnsi="Consolas"/>
                <w:color w:val="7BB37B"/>
                <w:sz w:val="16"/>
                <w:szCs w:val="16"/>
              </w:rPr>
              <w:t xml:space="preserve">! Achtung: Reihenfolge und eigene Adresse pruefen, sonst Aussperrung!</w:t>
            </w:r>
          </w:p>
        </w:tc>
      </w:tr>
    </w:tbl>
    <w:tbl>
      <w:tblPr>
        <w:tblW w:type="dxa" w:w="9026"/>
        <w:tblBorders>
          <w:top w:val="single" w:color="C0392B" w:sz="12"/>
          <w:left w:val="single" w:color="C0392B" w:sz="12"/>
          <w:bottom w:val="single" w:color="C0392B" w:sz="12"/>
          <w:right w:val="single" w:color="C0392B" w:sz="12"/>
          <w:insideH w:val="none" w:color="FFFFFF" w:sz="0"/>
          <w:insideV w:val="none" w:color="FFFFFF" w:sz="0"/>
        </w:tblBorders>
      </w:tblPr>
      <w:tblGrid>
        <w:gridCol w:w="9026"/>
      </w:tblGrid>
      <w:tr>
        <w:tc>
          <w:tcPr>
            <w:tcW w:type="dxa" w:w="9026"/>
            <w:shd w:fill="FBE9E7" w:val="clear"/>
            <w:tcMar>
              <w:top w:type="dxa" w:w="120"/>
              <w:left w:type="dxa" w:w="160"/>
              <w:bottom w:type="dxa" w:w="120"/>
              <w:right w:type="dxa" w:w="160"/>
            </w:tcMar>
          </w:tcPr>
          <w:p>
            <w:pPr>
              <w:spacing w:after="80"/>
            </w:pPr>
            <w:r>
              <w:rPr>
                <w:rFonts w:ascii="Calibri" w:cs="Calibri" w:eastAsia="Calibri" w:hAnsi="Calibri"/>
                <w:b/>
                <w:bCs/>
                <w:color w:val="C0392B"/>
                <w:sz w:val="22"/>
                <w:szCs w:val="22"/>
              </w:rPr>
              <w:t xml:space="preserve">⚠ Der kritischste Schritt der Übung</w:t>
            </w:r>
          </w:p>
          <w:p>
            <w:pPr>
              <w:spacing w:after="60" w:line="276"/>
            </w:pPr>
            <w:r>
              <w:rPr>
                <w:rFonts w:ascii="Calibri" w:cs="Calibri" w:eastAsia="Calibri" w:hAnsi="Calibri"/>
                <w:color w:val="222222"/>
                <w:sz w:val="22"/>
                <w:szCs w:val="22"/>
              </w:rPr>
              <w:t xml:space="preserve">Eine Zugriffsliste auf den Verwaltungsleitungen ist der klassische Weg, sich selbst auszusperren. Vor dem Aktivieren prüfen: Ist die eigene Administrations-Adresse enthalten? Ist das Konsolenkabel angeschlossen und getestet? Erst dann anwenden.</w:t>
            </w:r>
          </w:p>
        </w:tc>
      </w:tr>
    </w:tbl>
    <w:p>
      <w:pPr>
        <w:pStyle w:val="Heading2"/>
        <w:spacing w:after="100" w:before="220"/>
      </w:pPr>
      <w:r>
        <w:rPr>
          <w:rFonts w:ascii="Calibri" w:cs="Calibri" w:eastAsia="Calibri" w:hAnsi="Calibri"/>
          <w:b/>
          <w:bCs/>
          <w:color w:val="0066AA"/>
          <w:sz w:val="24"/>
          <w:szCs w:val="24"/>
        </w:rPr>
        <w:t xml:space="preserve">4. VLAN-Härtung gegen VLAN-Hopping</w:t>
      </w:r>
    </w:p>
    <w:p>
      <w:pPr>
        <w:spacing w:after="130" w:line="276"/>
      </w:pPr>
      <w:r>
        <w:rPr>
          <w:rFonts w:ascii="Calibri" w:cs="Calibri" w:eastAsia="Calibri" w:hAnsi="Calibri"/>
          <w:b w:val="false"/>
          <w:bCs w:val="false"/>
          <w:i w:val="false"/>
          <w:iCs w:val="false"/>
          <w:color w:val="222222"/>
          <w:sz w:val="22"/>
          <w:szCs w:val="22"/>
        </w:rPr>
        <w:t xml:space="preserve">Die beiden Angriffe aus Etappe 4 werden jetzt am echten Gerät entschärft: Automatische Trunk-Aushandlung wird abgeschaltet, das Native VLAN vom Standard wegbewegt, und auf Trunks nur die tatsächlich benötigten VLANs erlaubt.</w:t>
      </w: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9026"/>
      </w:tblGrid>
      <w:tr>
        <w:tc>
          <w:tcPr>
            <w:tcW w:type="dxa" w:w="9026"/>
            <w:tcMar>
              <w:top w:type="dxa" w:w="40"/>
              <w:left w:type="dxa" w:w="60"/>
              <w:bottom w:type="dxa" w:w="40"/>
              <w:right w:type="dxa" w:w="60"/>
            </w:tcMar>
          </w:tcPr>
          <w:p>
            <w:pPr>
              <w:shd w:fill="003366" w:val="clear"/>
              <w:spacing w:after="0"/>
            </w:pPr>
            <w:r>
              <w:rPr>
                <w:rFonts w:ascii="Consolas" w:cs="Consolas" w:eastAsia="Consolas" w:hAnsi="Consolas"/>
                <w:b/>
                <w:bCs/>
                <w:color w:val="FFFFFF"/>
                <w:sz w:val="17"/>
                <w:szCs w:val="17"/>
              </w:rPr>
              <w:t xml:space="preserve"> Prinzip</w:t>
            </w:r>
          </w:p>
          <w:p>
            <w:pPr>
              <w:shd w:fill="1E1E2E" w:val="clear"/>
              <w:spacing w:after="0" w:line="240"/>
            </w:pPr>
            <w:r>
              <w:rPr>
                <w:rFonts w:ascii="Consolas" w:cs="Consolas" w:eastAsia="Consolas" w:hAnsi="Consolas"/>
                <w:color w:val="7BB37B"/>
                <w:sz w:val="16"/>
                <w:szCs w:val="16"/>
              </w:rPr>
              <w:t xml:space="preserve">! Access-Ports duerfen keinen Trunk aushandeln</w:t>
            </w:r>
          </w:p>
          <w:p>
            <w:pPr>
              <w:shd w:fill="1E1E2E" w:val="clear"/>
              <w:spacing w:after="0" w:line="240"/>
            </w:pPr>
            <w:r>
              <w:rPr>
                <w:rFonts w:ascii="Consolas" w:cs="Consolas" w:eastAsia="Consolas" w:hAnsi="Consolas"/>
                <w:color w:val="D6D6E0"/>
                <w:sz w:val="16"/>
                <w:szCs w:val="16"/>
              </w:rPr>
              <w:t xml:space="preserve">interface range &lt;Access-Ports&gt;</w:t>
            </w:r>
          </w:p>
          <w:p>
            <w:pPr>
              <w:shd w:fill="1E1E2E" w:val="clear"/>
              <w:spacing w:after="0" w:line="240"/>
            </w:pPr>
            <w:r>
              <w:rPr>
                <w:rFonts w:ascii="Consolas" w:cs="Consolas" w:eastAsia="Consolas" w:hAnsi="Consolas"/>
                <w:color w:val="D6D6E0"/>
                <w:sz w:val="16"/>
                <w:szCs w:val="16"/>
              </w:rPr>
              <w:t xml:space="preserve"> switchport mode access</w:t>
            </w:r>
          </w:p>
          <w:p>
            <w:pPr>
              <w:shd w:fill="1E1E2E" w:val="clear"/>
              <w:spacing w:after="0" w:line="240"/>
            </w:pPr>
            <w:r>
              <w:rPr>
                <w:rFonts w:ascii="Consolas" w:cs="Consolas" w:eastAsia="Consolas" w:hAnsi="Consolas"/>
                <w:color w:val="D6D6E0"/>
                <w:sz w:val="16"/>
                <w:szCs w:val="16"/>
              </w:rPr>
              <w:t xml:space="preserve"> switchport nonegotiate</w:t>
            </w:r>
          </w:p>
          <w:p>
            <w:pPr>
              <w:shd w:fill="1E1E2E" w:val="clear"/>
              <w:spacing w:after="0" w:line="240"/>
            </w:pPr>
            <w:r>
              <w:rPr>
                <w:rFonts w:ascii="Consolas" w:cs="Consolas" w:eastAsia="Consolas" w:hAnsi="Consolas"/>
                <w:color w:val="7BB37B"/>
                <w:sz w:val="16"/>
                <w:szCs w:val="16"/>
              </w:rPr>
              <w:t xml:space="preserve">!</w:t>
            </w:r>
          </w:p>
          <w:p>
            <w:pPr>
              <w:shd w:fill="1E1E2E" w:val="clear"/>
              <w:spacing w:after="0" w:line="240"/>
            </w:pPr>
            <w:r>
              <w:rPr>
                <w:rFonts w:ascii="Consolas" w:cs="Consolas" w:eastAsia="Consolas" w:hAnsi="Consolas"/>
                <w:color w:val="7BB37B"/>
                <w:sz w:val="16"/>
                <w:szCs w:val="16"/>
              </w:rPr>
              <w:t xml:space="preserve">! Trunk zum M4: Native VLAN weg vom Standard, VLANs begrenzen</w:t>
            </w:r>
          </w:p>
          <w:p>
            <w:pPr>
              <w:shd w:fill="1E1E2E" w:val="clear"/>
              <w:spacing w:after="0" w:line="240"/>
            </w:pPr>
            <w:r>
              <w:rPr>
                <w:rFonts w:ascii="Consolas" w:cs="Consolas" w:eastAsia="Consolas" w:hAnsi="Consolas"/>
                <w:color w:val="D6D6E0"/>
                <w:sz w:val="16"/>
                <w:szCs w:val="16"/>
              </w:rPr>
              <w:t xml:space="preserve">interface &lt;Trunk-Port&gt;</w:t>
            </w:r>
          </w:p>
          <w:p>
            <w:pPr>
              <w:shd w:fill="1E1E2E" w:val="clear"/>
              <w:spacing w:after="0" w:line="240"/>
            </w:pPr>
            <w:r>
              <w:rPr>
                <w:rFonts w:ascii="Consolas" w:cs="Consolas" w:eastAsia="Consolas" w:hAnsi="Consolas"/>
                <w:color w:val="D6D6E0"/>
                <w:sz w:val="16"/>
                <w:szCs w:val="16"/>
              </w:rPr>
              <w:t xml:space="preserve"> switchport mode trunk</w:t>
            </w:r>
          </w:p>
          <w:p>
            <w:pPr>
              <w:shd w:fill="1E1E2E" w:val="clear"/>
              <w:spacing w:after="0" w:line="240"/>
            </w:pPr>
            <w:r>
              <w:rPr>
                <w:rFonts w:ascii="Consolas" w:cs="Consolas" w:eastAsia="Consolas" w:hAnsi="Consolas"/>
                <w:color w:val="D6D6E0"/>
                <w:sz w:val="16"/>
                <w:szCs w:val="16"/>
              </w:rPr>
              <w:t xml:space="preserve"> switchport trunk native vlan 990</w:t>
            </w:r>
          </w:p>
          <w:p>
            <w:pPr>
              <w:shd w:fill="1E1E2E" w:val="clear"/>
              <w:spacing w:after="0" w:line="240"/>
            </w:pPr>
            <w:r>
              <w:rPr>
                <w:rFonts w:ascii="Consolas" w:cs="Consolas" w:eastAsia="Consolas" w:hAnsi="Consolas"/>
                <w:color w:val="D6D6E0"/>
                <w:sz w:val="16"/>
                <w:szCs w:val="16"/>
              </w:rPr>
              <w:t xml:space="preserve"> switchport trunk allowed vlan &lt;nur benoetigte VLANs&gt;</w:t>
            </w:r>
          </w:p>
        </w:tc>
      </w:tr>
    </w:tbl>
    <w:p>
      <w:pPr>
        <w:spacing w:after="140"/>
      </w:pPr>
    </w:p>
    <w:p>
      <w:pPr>
        <w:pStyle w:val="Heading1"/>
        <w:pBdr>
          <w:bottom w:val="single" w:color="F0A500" w:sz="8"/>
        </w:pBdr>
        <w:spacing w:after="140" w:before="320"/>
      </w:pPr>
      <w:r>
        <w:rPr>
          <w:rFonts w:ascii="Calibri" w:cs="Calibri" w:eastAsia="Calibri" w:hAnsi="Calibri"/>
          <w:b/>
          <w:bCs/>
          <w:color w:val="003366"/>
          <w:sz w:val="28"/>
          <w:szCs w:val="28"/>
        </w:rPr>
        <w:t xml:space="preserve">Protokoll (von den Teilnehmenden auszufüllen)</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2600"/>
        <w:gridCol w:w="3200"/>
        <w:gridCol w:w="3226"/>
      </w:tblGrid>
      <w:tr>
        <w:trPr>
          <w:tblHeader/>
        </w:trPr>
        <w:tc>
          <w:tcPr>
            <w:tcW w:type="dxa" w:w="2600"/>
            <w:shd w:fill="003366" w:val="clear"/>
            <w:tcMar>
              <w:top w:type="dxa" w:w="80"/>
              <w:left w:type="dxa" w:w="90"/>
              <w:bottom w:type="dxa" w:w="80"/>
              <w:right w:type="dxa" w:w="90"/>
            </w:tcMar>
          </w:tcPr>
          <w:p>
            <w:r>
              <w:rPr>
                <w:rFonts w:ascii="Calibri" w:cs="Calibri" w:eastAsia="Calibri" w:hAnsi="Calibri"/>
                <w:b/>
                <w:bCs/>
                <w:color w:val="FFFFFF"/>
                <w:sz w:val="20"/>
                <w:szCs w:val="20"/>
              </w:rPr>
              <w:t xml:space="preserve">Maßnahme</w:t>
            </w:r>
          </w:p>
        </w:tc>
        <w:tc>
          <w:tcPr>
            <w:tcW w:type="dxa" w:w="3200"/>
            <w:shd w:fill="003366" w:val="clear"/>
            <w:tcMar>
              <w:top w:type="dxa" w:w="80"/>
              <w:left w:type="dxa" w:w="90"/>
              <w:bottom w:type="dxa" w:w="80"/>
              <w:right w:type="dxa" w:w="90"/>
            </w:tcMar>
          </w:tcPr>
          <w:p>
            <w:r>
              <w:rPr>
                <w:rFonts w:ascii="Calibri" w:cs="Calibri" w:eastAsia="Calibri" w:hAnsi="Calibri"/>
                <w:b/>
                <w:bCs/>
                <w:color w:val="FFFFFF"/>
                <w:sz w:val="20"/>
                <w:szCs w:val="20"/>
              </w:rPr>
              <w:t xml:space="preserve">Wogegen schützt sie?</w:t>
            </w:r>
          </w:p>
        </w:tc>
        <w:tc>
          <w:tcPr>
            <w:tcW w:type="dxa" w:w="3226"/>
            <w:shd w:fill="003366" w:val="clear"/>
            <w:tcMar>
              <w:top w:type="dxa" w:w="80"/>
              <w:left w:type="dxa" w:w="90"/>
              <w:bottom w:type="dxa" w:w="80"/>
              <w:right w:type="dxa" w:w="90"/>
            </w:tcMar>
          </w:tcPr>
          <w:p>
            <w:r>
              <w:rPr>
                <w:rFonts w:ascii="Calibri" w:cs="Calibri" w:eastAsia="Calibri" w:hAnsi="Calibri"/>
                <w:b/>
                <w:bCs/>
                <w:color w:val="FFFFFF"/>
                <w:sz w:val="20"/>
                <w:szCs w:val="20"/>
              </w:rPr>
              <w:t xml:space="preserve">Auswirkung auf den Betrieb</w:t>
            </w:r>
          </w:p>
        </w:tc>
      </w:tr>
      <w:tr>
        <w:tc>
          <w:tcPr>
            <w:tcW w:type="dxa" w:w="2600"/>
            <w:tcMar>
              <w:top w:type="dxa" w:w="130"/>
              <w:left w:type="dxa" w:w="90"/>
              <w:bottom w:type="dxa" w:w="130"/>
              <w:right w:type="dxa" w:w="90"/>
            </w:tcMar>
          </w:tcPr>
          <w:p>
            <w:r>
              <w:rPr>
                <w:rFonts w:ascii="Calibri" w:cs="Calibri" w:eastAsia="Calibri" w:hAnsi="Calibri"/>
                <w:sz w:val="20"/>
                <w:szCs w:val="20"/>
              </w:rPr>
              <w:t xml:space="preserve"> </w:t>
            </w:r>
          </w:p>
        </w:tc>
        <w:tc>
          <w:tcPr>
            <w:tcW w:type="dxa" w:w="3200"/>
            <w:tcMar>
              <w:top w:type="dxa" w:w="130"/>
              <w:left w:type="dxa" w:w="90"/>
              <w:bottom w:type="dxa" w:w="130"/>
              <w:right w:type="dxa" w:w="90"/>
            </w:tcMar>
          </w:tcPr>
          <w:p>
            <w:r>
              <w:rPr>
                <w:rFonts w:ascii="Calibri" w:cs="Calibri" w:eastAsia="Calibri" w:hAnsi="Calibri"/>
                <w:sz w:val="20"/>
                <w:szCs w:val="20"/>
              </w:rPr>
              <w:t xml:space="preserve"> </w:t>
            </w:r>
          </w:p>
        </w:tc>
        <w:tc>
          <w:tcPr>
            <w:tcW w:type="dxa" w:w="3226"/>
            <w:tcMar>
              <w:top w:type="dxa" w:w="130"/>
              <w:left w:type="dxa" w:w="90"/>
              <w:bottom w:type="dxa" w:w="130"/>
              <w:right w:type="dxa" w:w="90"/>
            </w:tcMar>
          </w:tcPr>
          <w:p>
            <w:r>
              <w:rPr>
                <w:rFonts w:ascii="Calibri" w:cs="Calibri" w:eastAsia="Calibri" w:hAnsi="Calibri"/>
                <w:sz w:val="20"/>
                <w:szCs w:val="20"/>
              </w:rPr>
              <w:t xml:space="preserve"> </w:t>
            </w:r>
          </w:p>
        </w:tc>
      </w:tr>
      <w:tr>
        <w:tc>
          <w:tcPr>
            <w:tcW w:type="dxa" w:w="2600"/>
            <w:tcMar>
              <w:top w:type="dxa" w:w="130"/>
              <w:left w:type="dxa" w:w="90"/>
              <w:bottom w:type="dxa" w:w="130"/>
              <w:right w:type="dxa" w:w="90"/>
            </w:tcMar>
          </w:tcPr>
          <w:p>
            <w:r>
              <w:rPr>
                <w:rFonts w:ascii="Calibri" w:cs="Calibri" w:eastAsia="Calibri" w:hAnsi="Calibri"/>
                <w:sz w:val="20"/>
                <w:szCs w:val="20"/>
              </w:rPr>
              <w:t xml:space="preserve"> </w:t>
            </w:r>
          </w:p>
        </w:tc>
        <w:tc>
          <w:tcPr>
            <w:tcW w:type="dxa" w:w="3200"/>
            <w:tcMar>
              <w:top w:type="dxa" w:w="130"/>
              <w:left w:type="dxa" w:w="90"/>
              <w:bottom w:type="dxa" w:w="130"/>
              <w:right w:type="dxa" w:w="90"/>
            </w:tcMar>
          </w:tcPr>
          <w:p>
            <w:r>
              <w:rPr>
                <w:rFonts w:ascii="Calibri" w:cs="Calibri" w:eastAsia="Calibri" w:hAnsi="Calibri"/>
                <w:sz w:val="20"/>
                <w:szCs w:val="20"/>
              </w:rPr>
              <w:t xml:space="preserve"> </w:t>
            </w:r>
          </w:p>
        </w:tc>
        <w:tc>
          <w:tcPr>
            <w:tcW w:type="dxa" w:w="3226"/>
            <w:tcMar>
              <w:top w:type="dxa" w:w="130"/>
              <w:left w:type="dxa" w:w="90"/>
              <w:bottom w:type="dxa" w:w="130"/>
              <w:right w:type="dxa" w:w="90"/>
            </w:tcMar>
          </w:tcPr>
          <w:p>
            <w:r>
              <w:rPr>
                <w:rFonts w:ascii="Calibri" w:cs="Calibri" w:eastAsia="Calibri" w:hAnsi="Calibri"/>
                <w:sz w:val="20"/>
                <w:szCs w:val="20"/>
              </w:rPr>
              <w:t xml:space="preserve"> </w:t>
            </w:r>
          </w:p>
        </w:tc>
      </w:tr>
      <w:tr>
        <w:tc>
          <w:tcPr>
            <w:tcW w:type="dxa" w:w="2600"/>
            <w:tcMar>
              <w:top w:type="dxa" w:w="130"/>
              <w:left w:type="dxa" w:w="90"/>
              <w:bottom w:type="dxa" w:w="130"/>
              <w:right w:type="dxa" w:w="90"/>
            </w:tcMar>
          </w:tcPr>
          <w:p>
            <w:r>
              <w:rPr>
                <w:rFonts w:ascii="Calibri" w:cs="Calibri" w:eastAsia="Calibri" w:hAnsi="Calibri"/>
                <w:sz w:val="20"/>
                <w:szCs w:val="20"/>
              </w:rPr>
              <w:t xml:space="preserve"> </w:t>
            </w:r>
          </w:p>
        </w:tc>
        <w:tc>
          <w:tcPr>
            <w:tcW w:type="dxa" w:w="3200"/>
            <w:tcMar>
              <w:top w:type="dxa" w:w="130"/>
              <w:left w:type="dxa" w:w="90"/>
              <w:bottom w:type="dxa" w:w="130"/>
              <w:right w:type="dxa" w:w="90"/>
            </w:tcMar>
          </w:tcPr>
          <w:p>
            <w:r>
              <w:rPr>
                <w:rFonts w:ascii="Calibri" w:cs="Calibri" w:eastAsia="Calibri" w:hAnsi="Calibri"/>
                <w:sz w:val="20"/>
                <w:szCs w:val="20"/>
              </w:rPr>
              <w:t xml:space="preserve"> </w:t>
            </w:r>
          </w:p>
        </w:tc>
        <w:tc>
          <w:tcPr>
            <w:tcW w:type="dxa" w:w="3226"/>
            <w:tcMar>
              <w:top w:type="dxa" w:w="130"/>
              <w:left w:type="dxa" w:w="90"/>
              <w:bottom w:type="dxa" w:w="130"/>
              <w:right w:type="dxa" w:w="90"/>
            </w:tcMar>
          </w:tcPr>
          <w:p>
            <w:r>
              <w:rPr>
                <w:rFonts w:ascii="Calibri" w:cs="Calibri" w:eastAsia="Calibri" w:hAnsi="Calibri"/>
                <w:sz w:val="20"/>
                <w:szCs w:val="20"/>
              </w:rPr>
              <w:t xml:space="preserve"> </w:t>
            </w:r>
          </w:p>
        </w:tc>
      </w:tr>
      <w:tr>
        <w:tc>
          <w:tcPr>
            <w:tcW w:type="dxa" w:w="2600"/>
            <w:tcMar>
              <w:top w:type="dxa" w:w="130"/>
              <w:left w:type="dxa" w:w="90"/>
              <w:bottom w:type="dxa" w:w="130"/>
              <w:right w:type="dxa" w:w="90"/>
            </w:tcMar>
          </w:tcPr>
          <w:p>
            <w:r>
              <w:rPr>
                <w:rFonts w:ascii="Calibri" w:cs="Calibri" w:eastAsia="Calibri" w:hAnsi="Calibri"/>
                <w:sz w:val="20"/>
                <w:szCs w:val="20"/>
              </w:rPr>
              <w:t xml:space="preserve"> </w:t>
            </w:r>
          </w:p>
        </w:tc>
        <w:tc>
          <w:tcPr>
            <w:tcW w:type="dxa" w:w="3200"/>
            <w:tcMar>
              <w:top w:type="dxa" w:w="130"/>
              <w:left w:type="dxa" w:w="90"/>
              <w:bottom w:type="dxa" w:w="130"/>
              <w:right w:type="dxa" w:w="90"/>
            </w:tcMar>
          </w:tcPr>
          <w:p>
            <w:r>
              <w:rPr>
                <w:rFonts w:ascii="Calibri" w:cs="Calibri" w:eastAsia="Calibri" w:hAnsi="Calibri"/>
                <w:sz w:val="20"/>
                <w:szCs w:val="20"/>
              </w:rPr>
              <w:t xml:space="preserve"> </w:t>
            </w:r>
          </w:p>
        </w:tc>
        <w:tc>
          <w:tcPr>
            <w:tcW w:type="dxa" w:w="3226"/>
            <w:tcMar>
              <w:top w:type="dxa" w:w="130"/>
              <w:left w:type="dxa" w:w="90"/>
              <w:bottom w:type="dxa" w:w="130"/>
              <w:right w:type="dxa" w:w="90"/>
            </w:tcMar>
          </w:tcPr>
          <w:p>
            <w:r>
              <w:rPr>
                <w:rFonts w:ascii="Calibri" w:cs="Calibri" w:eastAsia="Calibri" w:hAnsi="Calibri"/>
                <w:sz w:val="20"/>
                <w:szCs w:val="20"/>
              </w:rPr>
              <w:t xml:space="preserve"> </w:t>
            </w:r>
          </w:p>
        </w:tc>
      </w:tr>
      <w:tr>
        <w:tc>
          <w:tcPr>
            <w:tcW w:type="dxa" w:w="2600"/>
            <w:tcMar>
              <w:top w:type="dxa" w:w="130"/>
              <w:left w:type="dxa" w:w="90"/>
              <w:bottom w:type="dxa" w:w="130"/>
              <w:right w:type="dxa" w:w="90"/>
            </w:tcMar>
          </w:tcPr>
          <w:p>
            <w:r>
              <w:rPr>
                <w:rFonts w:ascii="Calibri" w:cs="Calibri" w:eastAsia="Calibri" w:hAnsi="Calibri"/>
                <w:sz w:val="20"/>
                <w:szCs w:val="20"/>
              </w:rPr>
              <w:t xml:space="preserve"> </w:t>
            </w:r>
          </w:p>
        </w:tc>
        <w:tc>
          <w:tcPr>
            <w:tcW w:type="dxa" w:w="3200"/>
            <w:tcMar>
              <w:top w:type="dxa" w:w="130"/>
              <w:left w:type="dxa" w:w="90"/>
              <w:bottom w:type="dxa" w:w="130"/>
              <w:right w:type="dxa" w:w="90"/>
            </w:tcMar>
          </w:tcPr>
          <w:p>
            <w:r>
              <w:rPr>
                <w:rFonts w:ascii="Calibri" w:cs="Calibri" w:eastAsia="Calibri" w:hAnsi="Calibri"/>
                <w:sz w:val="20"/>
                <w:szCs w:val="20"/>
              </w:rPr>
              <w:t xml:space="preserve"> </w:t>
            </w:r>
          </w:p>
        </w:tc>
        <w:tc>
          <w:tcPr>
            <w:tcW w:type="dxa" w:w="3226"/>
            <w:tcMar>
              <w:top w:type="dxa" w:w="130"/>
              <w:left w:type="dxa" w:w="90"/>
              <w:bottom w:type="dxa" w:w="130"/>
              <w:right w:type="dxa" w:w="90"/>
            </w:tcMar>
          </w:tcPr>
          <w:p>
            <w:r>
              <w:rPr>
                <w:rFonts w:ascii="Calibri" w:cs="Calibri" w:eastAsia="Calibri" w:hAnsi="Calibri"/>
                <w:sz w:val="20"/>
                <w:szCs w:val="20"/>
              </w:rPr>
              <w:t xml:space="preserve"> </w:t>
            </w:r>
          </w:p>
        </w:tc>
      </w:tr>
    </w:tbl>
    <w:p>
      <w:pPr>
        <w:spacing w:after="160"/>
      </w:pPr>
    </w:p>
    <w:tbl>
      <w:tblPr>
        <w:tblW w:type="dxa" w:w="9026"/>
        <w:tblBorders>
          <w:top w:val="single" w:color="F0A500" w:sz="12"/>
          <w:left w:val="single" w:color="F0A500" w:sz="12"/>
          <w:bottom w:val="single" w:color="F0A500" w:sz="12"/>
          <w:right w:val="single" w:color="F0A500" w:sz="12"/>
          <w:insideH w:val="none" w:color="FFFFFF" w:sz="0"/>
          <w:insideV w:val="none" w:color="FFFFFF" w:sz="0"/>
        </w:tblBorders>
      </w:tblPr>
      <w:tblGrid>
        <w:gridCol w:w="9026"/>
      </w:tblGrid>
      <w:tr>
        <w:tc>
          <w:tcPr>
            <w:tcW w:type="dxa" w:w="9026"/>
            <w:shd w:fill="FFF4DC" w:val="clear"/>
            <w:tcMar>
              <w:top w:type="dxa" w:w="120"/>
              <w:left w:type="dxa" w:w="160"/>
              <w:bottom w:type="dxa" w:w="120"/>
              <w:right w:type="dxa" w:w="160"/>
            </w:tcMar>
          </w:tcPr>
          <w:p>
            <w:pPr>
              <w:spacing w:after="80"/>
            </w:pPr>
            <w:r>
              <w:rPr>
                <w:rFonts w:ascii="Calibri" w:cs="Calibri" w:eastAsia="Calibri" w:hAnsi="Calibri"/>
                <w:b/>
                <w:bCs/>
                <w:color w:val="003366"/>
                <w:sz w:val="22"/>
                <w:szCs w:val="22"/>
              </w:rPr>
              <w:t xml:space="preserve">Dozenten-Hinweis: Syntax vor dem Unterricht verifizieren</w:t>
            </w:r>
          </w:p>
          <w:p>
            <w:pPr>
              <w:spacing w:after="60" w:line="276"/>
            </w:pPr>
            <w:r>
              <w:rPr>
                <w:rFonts w:ascii="Calibri" w:cs="Calibri" w:eastAsia="Calibri" w:hAnsi="Calibri"/>
                <w:color w:val="222222"/>
                <w:sz w:val="22"/>
                <w:szCs w:val="22"/>
              </w:rPr>
              <w:t xml:space="preserve">Die Befehle sind in Cisco-naher Schreibweise angegeben, wie sie die AP2 verlangt. Der FS S3900 folgt dieser Logik weitgehend, einzelne Schlüsselwörter können je nach Firmware abweichen. Vor der Stunde einmal am Gerät durchgehen und die tatsächlichen Befehle hier eintragen – dann kann die Übung flüssig laufen.</w:t>
            </w:r>
          </w:p>
          <w:p>
            <w:pPr>
              <w:spacing w:after="60" w:line="276"/>
            </w:pPr>
            <w:r>
              <w:rPr>
                <w:rFonts w:ascii="Calibri" w:cs="Calibri" w:eastAsia="Calibri" w:hAnsi="Calibri"/>
                <w:color w:val="222222"/>
                <w:sz w:val="22"/>
                <w:szCs w:val="22"/>
              </w:rPr>
              <w:t xml:space="preserve">Zweiter Punkt: Direkt nach der SNMP-Umstellung gemeinsam prüfen, ob die Monitoring-Instanzen wieder Daten bekommen. Das schließt den Bogen zu Etappe 3 und zeigt den Change-Gedanken.</w:t>
            </w:r>
          </w:p>
        </w:tc>
      </w:tr>
    </w:tbl>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8"/>
        <w:szCs w:val="18"/>
      </w:rPr>
      <w:t xml:space="preserve">bfw Lübeck · Modul L · E8 FS-Härtung (Plenum) · Seite </w:t>
    </w:r>
    <w:r>
      <w:rPr>
        <w:rFonts w:ascii="Calibri" w:cs="Calibri" w:eastAsia="Calibri" w:hAnsi="Calibri"/>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abstractNum w:abstractNumId="3" w15:restartNumberingAfterBreak="0">
    <w:multiLevelType w:val="hybridMultilevel"/>
    <w:lvl w:ilvl="0" w15:tentative="1">
      <w:start w:val="1"/>
      <w:numFmt w:val="decimal"/>
      <w:lvlText w:val="%1."/>
      <w:lvlJc w:val="left"/>
      <w:pPr>
        <w:ind w:left="420" w:hanging="28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2026-07-22T06:13:30.169Z</dcterms:created>
  <dcterms:modified xsi:type="dcterms:W3CDTF">2026-07-22T06:13:30.169Z</dcterms:modified>
</cp:coreProperties>
</file>

<file path=docProps/custom.xml><?xml version="1.0" encoding="utf-8"?>
<Properties xmlns="http://schemas.openxmlformats.org/officeDocument/2006/custom-properties" xmlns:vt="http://schemas.openxmlformats.org/officeDocument/2006/docPropsVTypes"/>
</file>