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8"/>
          <w:szCs w:val="38"/>
        </w:rPr>
        <w:t xml:space="preserve">BSI IT-Grundschutz &amp; ISMS</w:t>
      </w:r>
    </w:p>
    <w:p>
      <w:pPr>
        <w:spacing w:after="40"/>
      </w:pPr>
      <w:r>
        <w:rPr>
          <w:rFonts w:ascii="Calibri" w:cs="Calibri" w:eastAsia="Calibri" w:hAnsi="Calibri"/>
          <w:color w:val="0066AA"/>
          <w:sz w:val="26"/>
          <w:szCs w:val="26"/>
        </w:rPr>
        <w:t xml:space="preserve">Handout zur Etappe 5 · Modul L (Lernfeld 11)</w:t>
      </w:r>
    </w:p>
    <w:p>
      <w:pPr>
        <w:pBdr>
          <w:bottom w:val="single" w:color="F0A500" w:sz="12"/>
        </w:pBdr>
        <w:spacing w:after="240"/>
      </w:pPr>
      <w:r>
        <w:rPr>
          <w:rFonts w:ascii="Calibri" w:cs="Calibri" w:eastAsia="Calibri" w:hAnsi="Calibri"/>
          <w:color w:val="595959"/>
          <w:sz w:val="20"/>
          <w:szCs w:val="20"/>
        </w:rPr>
        <w:t xml:space="preserve">FISI · bfw Lübeck · Juli 2026</w:t>
      </w:r>
    </w:p>
    <w:p>
      <w:pPr>
        <w:pStyle w:val="Heading1"/>
        <w:pBdr>
          <w:bottom w:val="single" w:color="F0A500" w:sz="8"/>
        </w:pBdr>
        <w:spacing w:after="160" w:before="360"/>
      </w:pPr>
      <w:r>
        <w:rPr>
          <w:rFonts w:ascii="Calibri" w:cs="Calibri" w:eastAsia="Calibri" w:hAnsi="Calibri"/>
          <w:b/>
          <w:bCs/>
          <w:color w:val="003366"/>
          <w:sz w:val="30"/>
          <w:szCs w:val="30"/>
        </w:rPr>
        <w:t xml:space="preserve">1. Die drei Schutzziele der Informationssicherheit</w:t>
      </w:r>
    </w:p>
    <w:p>
      <w:pPr>
        <w:spacing w:after="140" w:line="276"/>
      </w:pPr>
      <w:r>
        <w:rPr>
          <w:rFonts w:ascii="Calibri" w:cs="Calibri" w:eastAsia="Calibri" w:hAnsi="Calibri"/>
          <w:b w:val="false"/>
          <w:bCs w:val="false"/>
          <w:i w:val="false"/>
          <w:iCs w:val="false"/>
          <w:color w:val="222222"/>
          <w:sz w:val="22"/>
          <w:szCs w:val="22"/>
        </w:rPr>
        <w:t xml:space="preserve">Informationssicherheit dreht sich um drei Grundwerte, kurz VIV (deutsch) bzw. CIA (englisch). Vertraulichkeit (Confidentiality) bedeutet, dass nur Befugte Zugriff auf Informationen haben – geschützt etwa durch Verschlüsselung und Berechtigungen; ein Bruch ist ein Datenleck. Integrität (Integrity) bedeutet, dass Informationen korrekt und unverändert sind – geschützt durch Prüfsummen und digitale Signaturen; ein Bruch ist eine unbemerkte Manipulation. Verfügbarkeit (Availability) bedeutet, dass Informationen und Dienste nutzbar sind, wenn sie gebraucht werden – geschützt durch Redundanz und Backups (siehe Etappen 1 und 2); ein Bruch ist ein Ausfall. Häufig werden weitere Ziele ergänzt, etwa Authentizität, Verbindlichkeit (Nichtabstreitbarkeit) und Zurechenbarkeit.</w:t>
      </w:r>
    </w:p>
    <w:p>
      <w:pPr>
        <w:pStyle w:val="Heading1"/>
        <w:pBdr>
          <w:bottom w:val="single" w:color="F0A500" w:sz="8"/>
        </w:pBdr>
        <w:spacing w:after="160" w:before="360"/>
      </w:pPr>
      <w:r>
        <w:rPr>
          <w:rFonts w:ascii="Calibri" w:cs="Calibri" w:eastAsia="Calibri" w:hAnsi="Calibri"/>
          <w:b/>
          <w:bCs/>
          <w:color w:val="003366"/>
          <w:sz w:val="30"/>
          <w:szCs w:val="30"/>
        </w:rPr>
        <w:t xml:space="preserve">2. Das ISMS und der PDCA-Zyklus</w:t>
      </w:r>
    </w:p>
    <w:p>
      <w:pPr>
        <w:spacing w:after="140" w:line="276"/>
      </w:pPr>
      <w:r>
        <w:rPr>
          <w:rFonts w:ascii="Calibri" w:cs="Calibri" w:eastAsia="Calibri" w:hAnsi="Calibri"/>
          <w:b w:val="false"/>
          <w:bCs w:val="false"/>
          <w:i w:val="false"/>
          <w:iCs w:val="false"/>
          <w:color w:val="222222"/>
          <w:sz w:val="22"/>
          <w:szCs w:val="22"/>
        </w:rPr>
        <w:t xml:space="preserve">Ein Informationssicherheits-Managementsystem (ISMS) ist keine Software, sondern ein gesteuerter Prozess aus Regeln, Rollen und Maßnahmen, der Informationssicherheit planbar, wiederholbar und nachweisbar macht. Eine zentrale Rolle spielt der Informationssicherheitsbeauftragte (ISB), der den Prozess steuert und an die Leitung berichtet. Entscheidend ist die Leitungsverantwortung: Informationssicherheit ist Chefsache und nicht etwas, das die IT nebenbei erledigt.</w:t>
      </w:r>
    </w:p>
    <w:p>
      <w:pPr>
        <w:spacing w:after="140" w:line="276"/>
      </w:pPr>
      <w:r>
        <w:rPr>
          <w:rFonts w:ascii="Calibri" w:cs="Calibri" w:eastAsia="Calibri" w:hAnsi="Calibri"/>
          <w:b w:val="false"/>
          <w:bCs w:val="false"/>
          <w:i w:val="false"/>
          <w:iCs w:val="false"/>
          <w:color w:val="222222"/>
          <w:sz w:val="22"/>
          <w:szCs w:val="22"/>
        </w:rPr>
        <w:t xml:space="preserve">Das ISMS folgt dem PDCA-Zyklus: In der Phase Plan werden Ziele, Risiken und Maßnahmen festgelegt; in Do werden die Maßnahmen umgesetzt und betrieben; in Check wird ihre Wirksamkeit überprüft (Audits, Kennzahlen); in Act wird nachgebessert und verbessert. Die Kernidee: Sicherheit ist kein Projekt mit Enddatum, sondern ein Kreislauf ständiger Verbesserung. Derselbe Zyklus liegt sowohl der ISO 27001 als auch dem BSI-Grundschutz zugrunde.</w:t>
      </w:r>
    </w:p>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Abgrenzung: Datensicherheit, Datenschutz, Informationssicherheit</w:t>
            </w:r>
          </w:p>
          <w:p>
            <w:pPr>
              <w:spacing w:after="60" w:line="276"/>
            </w:pPr>
            <w:r>
              <w:rPr>
                <w:rFonts w:ascii="Calibri" w:cs="Calibri" w:eastAsia="Calibri" w:hAnsi="Calibri"/>
                <w:color w:val="222222"/>
                <w:sz w:val="22"/>
                <w:szCs w:val="22"/>
              </w:rPr>
              <w:t xml:space="preserve">Datensicherheit schützt Daten mit technischen Mitteln vor Verlust und unbefugtem Zugriff.</w:t>
            </w:r>
          </w:p>
          <w:p>
            <w:pPr>
              <w:spacing w:after="60" w:line="276"/>
            </w:pPr>
            <w:r>
              <w:rPr>
                <w:rFonts w:ascii="Calibri" w:cs="Calibri" w:eastAsia="Calibri" w:hAnsi="Calibri"/>
                <w:color w:val="222222"/>
                <w:sz w:val="22"/>
                <w:szCs w:val="22"/>
              </w:rPr>
              <w:t xml:space="preserve">Datenschutz schützt Personen und ihre personenbezogenen Daten (rechtlich über die DSGVO).</w:t>
            </w:r>
          </w:p>
          <w:p>
            <w:pPr>
              <w:spacing w:after="60" w:line="276"/>
            </w:pPr>
            <w:r>
              <w:rPr>
                <w:rFonts w:ascii="Calibri" w:cs="Calibri" w:eastAsia="Calibri" w:hAnsi="Calibri"/>
                <w:color w:val="222222"/>
                <w:sz w:val="22"/>
                <w:szCs w:val="22"/>
              </w:rPr>
              <w:t xml:space="preserve">Informationssicherheit ist der Oberbegriff und wird organisatorisch durch ein ISMS umgesetzt.</w:t>
            </w:r>
          </w:p>
        </w:tc>
      </w:tr>
    </w:tbl>
    <w:p>
      <w:pPr>
        <w:pStyle w:val="Heading1"/>
        <w:pBdr>
          <w:bottom w:val="single" w:color="F0A500" w:sz="8"/>
        </w:pBdr>
        <w:spacing w:after="160" w:before="360"/>
      </w:pPr>
      <w:r>
        <w:rPr>
          <w:rFonts w:ascii="Calibri" w:cs="Calibri" w:eastAsia="Calibri" w:hAnsi="Calibri"/>
          <w:b/>
          <w:bCs/>
          <w:color w:val="003366"/>
          <w:sz w:val="30"/>
          <w:szCs w:val="30"/>
        </w:rPr>
        <w:t xml:space="preserve">3. Der BSI IT-Grundschutz</w:t>
      </w:r>
    </w:p>
    <w:p>
      <w:pPr>
        <w:spacing w:after="140" w:line="276"/>
      </w:pPr>
      <w:r>
        <w:rPr>
          <w:rFonts w:ascii="Calibri" w:cs="Calibri" w:eastAsia="Calibri" w:hAnsi="Calibri"/>
          <w:b w:val="false"/>
          <w:bCs w:val="false"/>
          <w:i w:val="false"/>
          <w:iCs w:val="false"/>
          <w:color w:val="222222"/>
          <w:sz w:val="22"/>
          <w:szCs w:val="22"/>
        </w:rPr>
        <w:t xml:space="preserve">Der IT-Grundschutz des BSI ist eine in Deutschland etablierte Methodik, um ein angemessenes Sicherheitsniveau systematisch zu erreichen. Er besteht aus den BSI-Standards der 200er-Reihe und dem IT-Grundschutz-Kompendium. Der Standard 200-1 beschreibt die allgemeinen Anforderungen an ein ISMS. Der Standard 200-2 enthält die eigentliche Grundschutz-Methodik mit den drei Absicherungsarten. Der Standard 200-3 behandelt die Risikoanalyse, und der Standard 200-4 das Business Continuity Management (Notfallmanagement), das in Hälfte 2 dieses Moduls vertieft wird.</w:t>
      </w:r>
    </w:p>
    <w:p>
      <w:pPr>
        <w:spacing w:after="140" w:line="276"/>
      </w:pPr>
      <w:r>
        <w:rPr>
          <w:rFonts w:ascii="Calibri" w:cs="Calibri" w:eastAsia="Calibri" w:hAnsi="Calibri"/>
          <w:b w:val="false"/>
          <w:bCs w:val="false"/>
          <w:i w:val="false"/>
          <w:iCs w:val="false"/>
          <w:color w:val="222222"/>
          <w:sz w:val="22"/>
          <w:szCs w:val="22"/>
        </w:rPr>
        <w:t xml:space="preserve">Das IT-Grundschutz-Kompendium ist die Sammlung der Bausteine mit konkreten Anforderungen, gegliedert nach Themen – etwa APP für Anwendungen, NET für Netze, SYS für Systeme und ORP für Organisation und Personal.</w:t>
      </w:r>
    </w:p>
    <w:p>
      <w:pPr>
        <w:spacing w:after="140" w:line="276"/>
      </w:pPr>
      <w:r>
        <w:rPr>
          <w:rFonts w:ascii="Calibri" w:cs="Calibri" w:eastAsia="Calibri" w:hAnsi="Calibri"/>
          <w:b w:val="false"/>
          <w:bCs w:val="false"/>
          <w:i w:val="false"/>
          <w:iCs w:val="false"/>
          <w:color w:val="222222"/>
          <w:sz w:val="22"/>
          <w:szCs w:val="22"/>
        </w:rPr>
        <w:t xml:space="preserve">Die drei Absicherungsarten unterscheiden sich in Umfang und Reihenfolge: Die Basis-Absicherung ist der Einstieg und setzt zunächst die wichtigsten Maßnahmen um, um schnell einen breiten Grundschutz zu erreichen – gut geeignet für kleinere Organisationen. Die Standard-Absicherung ist der Regelweg mit umfassendem Schutz nach dem Kompendium und bildet die Grundlage für eine Zertifizierung. Die Kern-Absicherung konzentriert sich zuerst auf die wichtigsten Werte einer Organisation (die »Kronjuwelen«), wenn nicht sofort alles abgesichert werden kann.</w:t>
      </w:r>
    </w:p>
    <w:p>
      <w:pPr>
        <w:pStyle w:val="Heading1"/>
        <w:pBdr>
          <w:bottom w:val="single" w:color="F0A500" w:sz="8"/>
        </w:pBdr>
        <w:spacing w:after="160" w:before="360"/>
      </w:pPr>
      <w:r>
        <w:rPr>
          <w:rFonts w:ascii="Calibri" w:cs="Calibri" w:eastAsia="Calibri" w:hAnsi="Calibri"/>
          <w:b/>
          <w:bCs/>
          <w:color w:val="003366"/>
          <w:sz w:val="30"/>
          <w:szCs w:val="30"/>
        </w:rPr>
        <w:t xml:space="preserve">4. Die Schutzbedarfsfeststellung</w:t>
      </w:r>
    </w:p>
    <w:p>
      <w:pPr>
        <w:spacing w:after="140" w:line="276"/>
      </w:pPr>
      <w:r>
        <w:rPr>
          <w:rFonts w:ascii="Calibri" w:cs="Calibri" w:eastAsia="Calibri" w:hAnsi="Calibri"/>
          <w:b w:val="false"/>
          <w:bCs w:val="false"/>
          <w:i w:val="false"/>
          <w:iCs w:val="false"/>
          <w:color w:val="222222"/>
          <w:sz w:val="22"/>
          <w:szCs w:val="22"/>
        </w:rPr>
        <w:t xml:space="preserve">Bei der Schutzbedarfsfeststellung wird für jedes Objekt (Anwendung, System, Information) und für jedes Schutzziel einzeln gefragt: Wie hoch wäre der Schaden, wenn dieses Schutzziel verletzt würde? Daraus ergeben sich drei Schutzbedarfskategorien: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400"/>
        <w:gridCol w:w="3313"/>
        <w:gridCol w:w="3313"/>
      </w:tblGrid>
      <w:tr>
        <w:trPr>
          <w:tblHeader/>
        </w:trPr>
        <w:tc>
          <w:tcPr>
            <w:tcW w:type="dxa" w:w="24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Schutzbedarf</w:t>
            </w:r>
          </w:p>
        </w:tc>
        <w:tc>
          <w:tcPr>
            <w:tcW w:type="dxa" w:w="3313"/>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Bedeutung</w:t>
            </w:r>
          </w:p>
        </w:tc>
        <w:tc>
          <w:tcPr>
            <w:tcW w:type="dxa" w:w="3313"/>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Beispiel</w:t>
            </w:r>
          </w:p>
        </w:tc>
      </w:tr>
      <w:tr>
        <w:tc>
          <w:tcPr>
            <w:tcW w:type="dxa" w:w="24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normal</w:t>
            </w:r>
          </w:p>
        </w:tc>
        <w:tc>
          <w:tcPr>
            <w:tcW w:type="dxa" w:w="3313"/>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Schadensauswirkungen sind begrenzt und überschaubar</w:t>
            </w:r>
          </w:p>
        </w:tc>
        <w:tc>
          <w:tcPr>
            <w:tcW w:type="dxa" w:w="3313"/>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internes Infoblatt, allgemeine Website</w:t>
            </w:r>
          </w:p>
        </w:tc>
      </w:tr>
      <w:tr>
        <w:tc>
          <w:tcPr>
            <w:tcW w:type="dxa" w:w="24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hoch</w:t>
            </w:r>
          </w:p>
        </w:tc>
        <w:tc>
          <w:tcPr>
            <w:tcW w:type="dxa" w:w="3313"/>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Schadensauswirkungen können beträchtlich sein</w:t>
            </w:r>
          </w:p>
        </w:tc>
        <w:tc>
          <w:tcPr>
            <w:tcW w:type="dxa" w:w="3313"/>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Kundendaten, Buchhaltung, Verträge</w:t>
            </w:r>
          </w:p>
        </w:tc>
      </w:tr>
      <w:tr>
        <w:tc>
          <w:tcPr>
            <w:tcW w:type="dxa" w:w="24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sehr hoch</w:t>
            </w:r>
          </w:p>
        </w:tc>
        <w:tc>
          <w:tcPr>
            <w:tcW w:type="dxa" w:w="3313"/>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existenziell bedrohliche, katastrophale Auswirkungen</w:t>
            </w:r>
          </w:p>
        </w:tc>
        <w:tc>
          <w:tcPr>
            <w:tcW w:type="dxa" w:w="3313"/>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Patientendaten, Steuerung kritischer Anlagen</w:t>
            </w:r>
          </w:p>
        </w:tc>
      </w:tr>
    </w:tbl>
    <w:p>
      <w:pPr>
        <w:spacing w:after="60" w:line="276"/>
      </w:pPr>
      <w:r>
        <w:rPr>
          <w:rFonts w:ascii="Calibri" w:cs="Calibri" w:eastAsia="Calibri" w:hAnsi="Calibri"/>
          <w:b w:val="false"/>
          <w:bCs w:val="false"/>
          <w:i w:val="false"/>
          <w:iCs w:val="false"/>
          <w:color w:val="222222"/>
          <w:sz w:val="22"/>
          <w:szCs w:val="22"/>
        </w:rPr>
        <w:t xml:space="preserve"/>
      </w:r>
    </w:p>
    <w:p>
      <w:pPr>
        <w:spacing w:after="140" w:line="276"/>
      </w:pPr>
      <w:r>
        <w:rPr>
          <w:rFonts w:ascii="Calibri" w:cs="Calibri" w:eastAsia="Calibri" w:hAnsi="Calibri"/>
          <w:b w:val="false"/>
          <w:bCs w:val="false"/>
          <w:i w:val="false"/>
          <w:iCs w:val="false"/>
          <w:color w:val="222222"/>
          <w:sz w:val="22"/>
          <w:szCs w:val="22"/>
        </w:rPr>
        <w:t xml:space="preserve">Wichtig ist das Maximumprinzip: Der Schutzbedarf eines Systems richtet sich nach der schutzbedürftigsten Anwendung, die darauf betrieben wird. Läuft auf einem Server sowohl eine unkritische Info-Website als auch die Buchhaltung, erbt der Server den hohen Schutzbedarf der Buchhaltung. Ergänzend gibt es den Kumulationseffekt (viele kleine Werte summieren sich zu hohem Bedarf) und den Verteilungseffekt (Bedarf sinkt, weil die Last auf mehrere Systeme verteilt ist).</w:t>
      </w:r>
    </w:p>
    <w:p>
      <w:pPr>
        <w:pStyle w:val="Heading1"/>
        <w:pBdr>
          <w:bottom w:val="single" w:color="F0A500" w:sz="8"/>
        </w:pBdr>
        <w:spacing w:after="160" w:before="360"/>
      </w:pPr>
      <w:r>
        <w:rPr>
          <w:rFonts w:ascii="Calibri" w:cs="Calibri" w:eastAsia="Calibri" w:hAnsi="Calibri"/>
          <w:b/>
          <w:bCs/>
          <w:color w:val="003366"/>
          <w:sz w:val="30"/>
          <w:szCs w:val="30"/>
        </w:rPr>
        <w:t xml:space="preserve">5. IT-Grundschutz und ISO/IEC 27001</w:t>
      </w:r>
    </w:p>
    <w:p>
      <w:pPr>
        <w:spacing w:after="140" w:line="276"/>
      </w:pPr>
      <w:r>
        <w:rPr>
          <w:rFonts w:ascii="Calibri" w:cs="Calibri" w:eastAsia="Calibri" w:hAnsi="Calibri"/>
          <w:b w:val="false"/>
          <w:bCs w:val="false"/>
          <w:i w:val="false"/>
          <w:iCs w:val="false"/>
          <w:color w:val="222222"/>
          <w:sz w:val="22"/>
          <w:szCs w:val="22"/>
        </w:rPr>
        <w:t xml:space="preserve">Die ISO/IEC 27001 ist die internationale Norm für ISMS. Sie formuliert generische Anforderungen – sie beschreibt, WAS erreicht sein muss, lässt aber offen, wie. Der BSI IT-Grundschutz ist konkreter und liefert mit seinen Bausteinen gleich das WIE mit. Beide lassen sich verbinden: Auf Basis des IT-Grundschutzes ist eine Zertifizierung nach ISO 27001 möglich. Kurz gesagt sagt die ISO 27001, was zu erreichen ist, während der Grundschutz die umsetzungsnahen Maßnahmen mitliefert.</w:t>
      </w:r>
    </w:p>
    <w:p>
      <w:pPr>
        <w:pStyle w:val="Heading1"/>
        <w:pBdr>
          <w:bottom w:val="single" w:color="F0A500" w:sz="8"/>
        </w:pBdr>
        <w:spacing w:after="160" w:before="360"/>
      </w:pPr>
      <w:r>
        <w:rPr>
          <w:rFonts w:ascii="Calibri" w:cs="Calibri" w:eastAsia="Calibri" w:hAnsi="Calibri"/>
          <w:b/>
          <w:bCs/>
          <w:color w:val="003366"/>
          <w:sz w:val="30"/>
          <w:szCs w:val="30"/>
        </w:rPr>
        <w:t xml:space="preserve">6. Dokumentenhierarchie im ISMS</w:t>
      </w:r>
    </w:p>
    <w:p>
      <w:pPr>
        <w:spacing w:after="140" w:line="276"/>
      </w:pPr>
      <w:r>
        <w:rPr>
          <w:rFonts w:ascii="Calibri" w:cs="Calibri" w:eastAsia="Calibri" w:hAnsi="Calibri"/>
          <w:b w:val="false"/>
          <w:bCs w:val="false"/>
          <w:i w:val="false"/>
          <w:iCs w:val="false"/>
          <w:color w:val="222222"/>
          <w:sz w:val="22"/>
          <w:szCs w:val="22"/>
        </w:rPr>
        <w:t xml:space="preserve">Die Sicherheitsdokumente einer Organisation bilden eine Hierarchie, die von oben nach unten immer konkreter wird. An der Spitze steht die Sicherheitsleitlinie – ein kurzes Dokument, das das WARUM festhält: die Ziele und das Bekenntnis der Leitung zur Informationssicherheit. Darunter liegt das Sicherheitskonzept, das das WAS beschreibt: die Analyse, den Schutzbedarf und den Maßnahmenplan. An der Basis stehen Richtlinien und Arbeitsanweisungen, die das WIE im Alltag regeln – etwa Passwort-, Backup- oder Clean-Desk-Richtlinien.</w:t>
      </w:r>
    </w:p>
    <w:p>
      <w:pPr>
        <w:pStyle w:val="Heading1"/>
        <w:pBdr>
          <w:bottom w:val="single" w:color="F0A500" w:sz="8"/>
        </w:pBdr>
        <w:spacing w:after="160" w:before="360"/>
      </w:pPr>
      <w:r>
        <w:rPr>
          <w:rFonts w:ascii="Calibri" w:cs="Calibri" w:eastAsia="Calibri" w:hAnsi="Calibri"/>
          <w:b/>
          <w:bCs/>
          <w:color w:val="003366"/>
          <w:sz w:val="30"/>
          <w:szCs w:val="30"/>
        </w:rPr>
        <w:t xml:space="preserve">7. Abkürzungsverzeichnis</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400"/>
        <w:gridCol w:w="6626"/>
      </w:tblGrid>
      <w:tr>
        <w:trPr>
          <w:tblHeader/>
        </w:trPr>
        <w:tc>
          <w:tcPr>
            <w:tcW w:type="dxa" w:w="24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Abkürzung</w:t>
            </w:r>
          </w:p>
        </w:tc>
        <w:tc>
          <w:tcPr>
            <w:tcW w:type="dxa" w:w="6626"/>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Bedeutung</w:t>
            </w:r>
          </w:p>
        </w:tc>
      </w:tr>
      <w:tr>
        <w:tc>
          <w:tcPr>
            <w:tcW w:type="dxa" w:w="24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BSI</w:t>
            </w:r>
          </w:p>
        </w:tc>
        <w:tc>
          <w:tcPr>
            <w:tcW w:type="dxa" w:w="66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Bundesamt für Sicherheit in der Informationstechnik</w:t>
            </w:r>
          </w:p>
        </w:tc>
      </w:tr>
      <w:tr>
        <w:tc>
          <w:tcPr>
            <w:tcW w:type="dxa" w:w="24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CIA</w:t>
            </w:r>
          </w:p>
        </w:tc>
        <w:tc>
          <w:tcPr>
            <w:tcW w:type="dxa" w:w="66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Confidentiality, Integrity, Availability – englische Bezeichnung der drei Schutzziele</w:t>
            </w:r>
          </w:p>
        </w:tc>
      </w:tr>
      <w:tr>
        <w:tc>
          <w:tcPr>
            <w:tcW w:type="dxa" w:w="24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ISB</w:t>
            </w:r>
          </w:p>
        </w:tc>
        <w:tc>
          <w:tcPr>
            <w:tcW w:type="dxa" w:w="66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Informationssicherheitsbeauftragter</w:t>
            </w:r>
          </w:p>
        </w:tc>
      </w:tr>
      <w:tr>
        <w:tc>
          <w:tcPr>
            <w:tcW w:type="dxa" w:w="24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ISMS</w:t>
            </w:r>
          </w:p>
        </w:tc>
        <w:tc>
          <w:tcPr>
            <w:tcW w:type="dxa" w:w="66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Informationssicherheits-Managementsystem</w:t>
            </w:r>
          </w:p>
        </w:tc>
      </w:tr>
      <w:tr>
        <w:tc>
          <w:tcPr>
            <w:tcW w:type="dxa" w:w="24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ISO</w:t>
            </w:r>
          </w:p>
        </w:tc>
        <w:tc>
          <w:tcPr>
            <w:tcW w:type="dxa" w:w="66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International Organization for Standardization</w:t>
            </w:r>
          </w:p>
        </w:tc>
      </w:tr>
      <w:tr>
        <w:tc>
          <w:tcPr>
            <w:tcW w:type="dxa" w:w="24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KVP</w:t>
            </w:r>
          </w:p>
        </w:tc>
        <w:tc>
          <w:tcPr>
            <w:tcW w:type="dxa" w:w="66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Kontinuierlicher Verbesserungsprozess</w:t>
            </w:r>
          </w:p>
        </w:tc>
      </w:tr>
      <w:tr>
        <w:tc>
          <w:tcPr>
            <w:tcW w:type="dxa" w:w="24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PDCA</w:t>
            </w:r>
          </w:p>
        </w:tc>
        <w:tc>
          <w:tcPr>
            <w:tcW w:type="dxa" w:w="66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Plan-Do-Check-Act – Zyklus der kontinuierlichen Verbesserung</w:t>
            </w:r>
          </w:p>
        </w:tc>
      </w:tr>
      <w:tr>
        <w:tc>
          <w:tcPr>
            <w:tcW w:type="dxa" w:w="24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VIV</w:t>
            </w:r>
          </w:p>
        </w:tc>
        <w:tc>
          <w:tcPr>
            <w:tcW w:type="dxa" w:w="66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Vertraulichkeit, Integrität, Verfügbarkeit – deutsche Bezeichnung der drei Schutzziele</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E5 IT-Grundschutz &amp; ISMS · Handout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2026-07-04T16:05:30.594Z</dcterms:created>
  <dcterms:modified xsi:type="dcterms:W3CDTF">2026-07-04T16:05:30.616Z</dcterms:modified>
</cp:coreProperties>
</file>

<file path=docProps/custom.xml><?xml version="1.0" encoding="utf-8"?>
<Properties xmlns="http://schemas.openxmlformats.org/officeDocument/2006/custom-properties" xmlns:vt="http://schemas.openxmlformats.org/officeDocument/2006/docPropsVTypes"/>
</file>