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6"/>
          <w:szCs w:val="36"/>
        </w:rPr>
        <w:t xml:space="preserve">Gruppenarbeit: Schutzbedarfsanalyse</w:t>
      </w:r>
    </w:p>
    <w:p>
      <w:pPr>
        <w:spacing w:after="40"/>
      </w:pPr>
      <w:r>
        <w:rPr>
          <w:rFonts w:ascii="Calibri" w:cs="Calibri" w:eastAsia="Calibri" w:hAnsi="Calibri"/>
          <w:color w:val="0066AA"/>
          <w:sz w:val="26"/>
          <w:szCs w:val="26"/>
        </w:rPr>
        <w:t xml:space="preserve">Etappe 5: BSI IT-Grundschutz &amp; ISMS · Modul L (Lernfeld 11)</w:t>
      </w:r>
    </w:p>
    <w:p>
      <w:pPr>
        <w:pBdr>
          <w:bottom w:val="single" w:color="F0A500" w:sz="12"/>
        </w:pBdr>
        <w:spacing w:after="240"/>
      </w:pPr>
      <w:r>
        <w:rPr>
          <w:rFonts w:ascii="Calibri" w:cs="Calibri" w:eastAsia="Calibri" w:hAnsi="Calibri"/>
          <w:color w:val="595959"/>
          <w:sz w:val="20"/>
          <w:szCs w:val="20"/>
        </w:rPr>
        <w:t xml:space="preserve">FISI · bfw Lübeck · Juli 2026 · Bearbeitung Tag 3–4 · Präsentation Tag 5</w:t>
      </w:r>
    </w:p>
    <w:p>
      <w:pPr>
        <w:pStyle w:val="Heading1"/>
        <w:pBdr>
          <w:bottom w:val="single" w:color="F0A500" w:sz="8"/>
        </w:pBdr>
        <w:spacing w:after="140" w:before="320"/>
      </w:pPr>
      <w:r>
        <w:rPr>
          <w:rFonts w:ascii="Calibri" w:cs="Calibri" w:eastAsia="Calibri" w:hAnsi="Calibri"/>
          <w:b/>
          <w:bCs/>
          <w:color w:val="003366"/>
          <w:sz w:val="28"/>
          <w:szCs w:val="28"/>
        </w:rPr>
        <w:t xml:space="preserve">Euer Auftrag</w:t>
      </w:r>
    </w:p>
    <w:p>
      <w:pPr>
        <w:spacing w:after="130" w:line="276"/>
      </w:pPr>
      <w:r>
        <w:rPr>
          <w:rFonts w:ascii="Calibri" w:cs="Calibri" w:eastAsia="Calibri" w:hAnsi="Calibri"/>
          <w:b w:val="false"/>
          <w:bCs w:val="false"/>
          <w:i w:val="false"/>
          <w:iCs w:val="false"/>
          <w:color w:val="222222"/>
          <w:sz w:val="22"/>
          <w:szCs w:val="22"/>
        </w:rPr>
        <w:t xml:space="preserve">Ihr seid das neu gegründete Sicherheitsteam eures Unternehmens. Die Geschäftsführung hat euch beauftragt, für die wichtigsten Werte (Assets) eine Schutzbedarfsfeststellung durchzuführen und erste Maßnahmen vorzuschlagen. Jede Gruppe bearbeitet EIN Szenario (A–D, Zuteilung durch den Dozenten).</w:t>
      </w:r>
    </w:p>
    <w:p>
      <w:pPr>
        <w:pStyle w:val="Heading2"/>
        <w:spacing w:after="100" w:before="220"/>
      </w:pPr>
      <w:r>
        <w:rPr>
          <w:rFonts w:ascii="Calibri" w:cs="Calibri" w:eastAsia="Calibri" w:hAnsi="Calibri"/>
          <w:b/>
          <w:bCs/>
          <w:color w:val="0066AA"/>
          <w:sz w:val="24"/>
          <w:szCs w:val="24"/>
        </w:rPr>
        <w:t xml:space="preserve">Schritte</w:t>
      </w:r>
    </w:p>
    <w:p>
      <w:pPr>
        <w:pStyle w:val="ListParagraph"/>
        <w:numPr>
          <w:ilvl w:val="0"/>
          <w:numId w:val="2"/>
        </w:numPr>
        <w:spacing w:after="80" w:line="276"/>
      </w:pPr>
      <w:r>
        <w:rPr>
          <w:rFonts w:ascii="Calibri" w:cs="Calibri" w:eastAsia="Calibri" w:hAnsi="Calibri"/>
          <w:color w:val="222222"/>
          <w:sz w:val="22"/>
          <w:szCs w:val="22"/>
        </w:rPr>
        <w:t xml:space="preserve">Lest euer Szenario und identifiziert die genannten Assets.</w:t>
      </w:r>
    </w:p>
    <w:p>
      <w:pPr>
        <w:pStyle w:val="ListParagraph"/>
        <w:numPr>
          <w:ilvl w:val="0"/>
          <w:numId w:val="2"/>
        </w:numPr>
        <w:spacing w:after="80" w:line="276"/>
      </w:pPr>
      <w:r>
        <w:rPr>
          <w:rFonts w:ascii="Calibri" w:cs="Calibri" w:eastAsia="Calibri" w:hAnsi="Calibri"/>
          <w:color w:val="222222"/>
          <w:sz w:val="22"/>
          <w:szCs w:val="22"/>
        </w:rPr>
        <w:t xml:space="preserve">Führt für jedes Asset eine Schutzbedarfsfeststellung durch: Bewertet je Schutzziel (Vertraulichkeit, Integrität, Verfügbarkeit) den Schutzbedarf als normal, hoch oder sehr hoch – und begründet jede Einstufung mit dem möglichen Schaden.</w:t>
      </w:r>
    </w:p>
    <w:p>
      <w:pPr>
        <w:pStyle w:val="ListParagraph"/>
        <w:numPr>
          <w:ilvl w:val="0"/>
          <w:numId w:val="2"/>
        </w:numPr>
        <w:spacing w:after="80" w:line="276"/>
      </w:pPr>
      <w:r>
        <w:rPr>
          <w:rFonts w:ascii="Calibri" w:cs="Calibri" w:eastAsia="Calibri" w:hAnsi="Calibri"/>
          <w:color w:val="222222"/>
          <w:sz w:val="22"/>
          <w:szCs w:val="22"/>
        </w:rPr>
        <w:t xml:space="preserve">Wendet mindestens einmal das Maximumprinzip an (welches System erbt den Schutzbedarf welcher Anwendung?).</w:t>
      </w:r>
    </w:p>
    <w:p>
      <w:pPr>
        <w:pStyle w:val="ListParagraph"/>
        <w:numPr>
          <w:ilvl w:val="0"/>
          <w:numId w:val="2"/>
        </w:numPr>
        <w:spacing w:after="80" w:line="276"/>
      </w:pPr>
      <w:r>
        <w:rPr>
          <w:rFonts w:ascii="Calibri" w:cs="Calibri" w:eastAsia="Calibri" w:hAnsi="Calibri"/>
          <w:color w:val="222222"/>
          <w:sz w:val="22"/>
          <w:szCs w:val="22"/>
        </w:rPr>
        <w:t xml:space="preserve">Leitet drei priorisierte Maßnahmen ab und ordnet jede einem Schutzziel zu. Begründet die Priorisierung.</w:t>
      </w:r>
    </w:p>
    <w:p>
      <w:pPr>
        <w:pStyle w:val="ListParagraph"/>
        <w:numPr>
          <w:ilvl w:val="0"/>
          <w:numId w:val="2"/>
        </w:numPr>
        <w:spacing w:after="80" w:line="276"/>
      </w:pPr>
      <w:r>
        <w:rPr>
          <w:rFonts w:ascii="Calibri" w:cs="Calibri" w:eastAsia="Calibri" w:hAnsi="Calibri"/>
          <w:color w:val="222222"/>
          <w:sz w:val="22"/>
          <w:szCs w:val="22"/>
        </w:rPr>
        <w:t xml:space="preserve">Erstellt eine Präsentation (max. 10 Minuten) nach der Gestaltungsrichtlinie Herbst 2024 – nur Stichpunkte und Grafiken, jede Folie mit Namen, Seitenzahl, Datum und Thema.</w:t>
      </w:r>
    </w:p>
    <w:p>
      <w:pPr>
        <w:pStyle w:val="ListParagraph"/>
        <w:numPr>
          <w:ilvl w:val="0"/>
          <w:numId w:val="2"/>
        </w:numPr>
        <w:spacing w:after="80" w:line="276"/>
      </w:pPr>
      <w:r>
        <w:rPr>
          <w:rFonts w:ascii="Calibri" w:cs="Calibri" w:eastAsia="Calibri" w:hAnsi="Calibri"/>
          <w:color w:val="222222"/>
          <w:sz w:val="22"/>
          <w:szCs w:val="22"/>
        </w:rPr>
        <w:t xml:space="preserve">Erstellt zusätzlich ein Handout (1–2 Seiten) mit dem ausführlichen Inhalt eurer Analyse.</w:t>
      </w:r>
    </w:p>
    <w:tbl>
      <w:tblPr>
        <w:tblW w:type="dxa" w:w="9026"/>
        <w:tblBorders>
          <w:top w:val="single" w:color="F0A500" w:sz="12"/>
          <w:left w:val="single" w:color="F0A500" w:sz="12"/>
          <w:bottom w:val="single" w:color="F0A500" w:sz="12"/>
          <w:right w:val="single" w:color="F0A500" w:sz="12"/>
          <w:insideH w:val="none" w:color="FFFFFF" w:sz="0"/>
          <w:insideV w:val="none" w:color="FFFFFF" w:sz="0"/>
        </w:tblBorders>
      </w:tblPr>
      <w:tblGrid>
        <w:gridCol w:w="9026"/>
      </w:tblGrid>
      <w:tr>
        <w:tc>
          <w:tcPr>
            <w:tcW w:type="dxa" w:w="9026"/>
            <w:shd w:fill="FFF4DC"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Bewertung</w:t>
            </w:r>
          </w:p>
          <w:p>
            <w:pPr>
              <w:spacing w:after="60" w:line="276"/>
            </w:pPr>
            <w:r>
              <w:rPr>
                <w:rFonts w:ascii="Calibri" w:cs="Calibri" w:eastAsia="Calibri" w:hAnsi="Calibri"/>
                <w:color w:val="222222"/>
                <w:sz w:val="22"/>
                <w:szCs w:val="22"/>
              </w:rPr>
              <w:t xml:space="preserve">Eure Arbeit wird nach dem separaten Bewertungsbogen beurteilt (fachliche Analyse, Begründungen, Maßnahmen, Präsentation, Handout). Achtet besonders auf nachvollziehbare Begründungen – nicht die Einstufung allein zählt, sondern das Warum. Vorlage für die Schutzbedarfstabelle siehe letzte Seite.</w:t>
            </w:r>
          </w:p>
        </w:tc>
      </w:tr>
    </w:tbl>
    <w:p>
      <w:r>
        <w:br w:type="page"/>
      </w:r>
    </w:p>
    <w:p>
      <w:pPr>
        <w:pStyle w:val="Heading1"/>
        <w:pBdr>
          <w:bottom w:val="single" w:color="F0A500" w:sz="8"/>
        </w:pBdr>
        <w:spacing w:after="140" w:before="320"/>
      </w:pPr>
      <w:r>
        <w:rPr>
          <w:rFonts w:ascii="Calibri" w:cs="Calibri" w:eastAsia="Calibri" w:hAnsi="Calibri"/>
          <w:b/>
          <w:bCs/>
          <w:color w:val="003366"/>
          <w:sz w:val="28"/>
          <w:szCs w:val="28"/>
        </w:rPr>
        <w:t xml:space="preserve">Die vier Szenarien</w:t>
      </w:r>
    </w:p>
    <w:p>
      <w:pPr>
        <w:spacing w:after="130" w:line="276"/>
      </w:pPr>
      <w:r>
        <w:rPr>
          <w:rFonts w:ascii="Calibri" w:cs="Calibri" w:eastAsia="Calibri" w:hAnsi="Calibri"/>
          <w:b w:val="false"/>
          <w:bCs w:val="false"/>
          <w:i/>
          <w:iCs/>
          <w:color w:val="222222"/>
          <w:sz w:val="22"/>
          <w:szCs w:val="22"/>
        </w:rPr>
        <w:t xml:space="preserve">Nordische Firmennamen – alle Szenarien sind fiktiv.</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9026"/>
            <w:gridSpan w:val="2"/>
            <w:shd w:fill="003366" w:val="clear"/>
            <w:tcMar>
              <w:top w:type="dxa" w:w="100"/>
              <w:left w:type="dxa" w:w="140"/>
              <w:bottom w:type="dxa" w:w="100"/>
              <w:right w:type="dxa" w:w="140"/>
            </w:tcMar>
          </w:tcPr>
          <w:p>
            <w:r>
              <w:rPr>
                <w:rFonts w:ascii="Calibri" w:cs="Calibri" w:eastAsia="Calibri" w:hAnsi="Calibri"/>
                <w:b/>
                <w:bCs/>
                <w:color w:val="FFFFFF"/>
                <w:sz w:val="24"/>
                <w:szCs w:val="24"/>
              </w:rPr>
              <w:t xml:space="preserve">Szenario A – NordMed MVZ GmbH</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Branche</w:t>
            </w:r>
          </w:p>
        </w:tc>
        <w:tc>
          <w:tcPr>
            <w:tcW w:type="dxa" w:w="6826"/>
            <w:tcMar>
              <w:top w:type="dxa" w:w="90"/>
              <w:left w:type="dxa" w:w="120"/>
              <w:bottom w:type="dxa" w:w="90"/>
              <w:right w:type="dxa" w:w="120"/>
            </w:tcMar>
          </w:tcPr>
          <w:p>
            <w:r>
              <w:rPr>
                <w:rFonts w:ascii="Calibri" w:cs="Calibri" w:eastAsia="Calibri" w:hAnsi="Calibri"/>
                <w:color w:val="222222"/>
                <w:sz w:val="21"/>
                <w:szCs w:val="21"/>
              </w:rPr>
              <w:t xml:space="preserve">Medizinisches Versorgungszentrum (Arztpraxen-Verbund) in Kiel</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Ausgangslage</w:t>
            </w:r>
          </w:p>
        </w:tc>
        <w:tc>
          <w:tcPr>
            <w:tcW w:type="dxa" w:w="6826"/>
            <w:tcMar>
              <w:top w:type="dxa" w:w="90"/>
              <w:left w:type="dxa" w:w="120"/>
              <w:bottom w:type="dxa" w:w="90"/>
              <w:right w:type="dxa" w:w="120"/>
            </w:tcMar>
          </w:tcPr>
          <w:p>
            <w:pPr>
              <w:spacing w:line="264"/>
            </w:pPr>
            <w:r>
              <w:rPr>
                <w:rFonts w:ascii="Calibri" w:cs="Calibri" w:eastAsia="Calibri" w:hAnsi="Calibri"/>
                <w:color w:val="222222"/>
                <w:sz w:val="21"/>
                <w:szCs w:val="21"/>
              </w:rPr>
              <w:t xml:space="preserve">Das MVZ betreibt ein Praxisverwaltungssystem mit Patientenakten, ein Terminportal für Patienten im Internet und eine Anbindung an ein Labor. Ein Ausfall der Systeme würde den Praxisbetrieb sofort lahmlegen; Patientendaten unterliegen besonderem Schutz.</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Zu bewertende Assets</w:t>
            </w:r>
          </w:p>
        </w:tc>
        <w:tc>
          <w:tcPr>
            <w:tcW w:type="dxa" w:w="6826"/>
            <w:tcMar>
              <w:top w:type="dxa" w:w="90"/>
              <w:left w:type="dxa" w:w="120"/>
              <w:bottom w:type="dxa" w:w="90"/>
              <w:right w:type="dxa" w:w="120"/>
            </w:tcMar>
          </w:tcPr>
          <w:p>
            <w:pPr>
              <w:pStyle w:val="ListParagraph"/>
              <w:numPr>
                <w:ilvl w:val="0"/>
                <w:numId w:val="3"/>
              </w:numPr>
              <w:spacing w:after="50" w:line="264"/>
            </w:pPr>
            <w:r>
              <w:rPr>
                <w:rFonts w:ascii="Calibri" w:cs="Calibri" w:eastAsia="Calibri" w:hAnsi="Calibri"/>
                <w:color w:val="222222"/>
                <w:sz w:val="21"/>
                <w:szCs w:val="21"/>
              </w:rPr>
              <w:t xml:space="preserve">Patientenakten (Diagnosen, Medikation) im Praxisverwaltungssystem</w:t>
            </w:r>
          </w:p>
          <w:p>
            <w:pPr>
              <w:pStyle w:val="ListParagraph"/>
              <w:numPr>
                <w:ilvl w:val="0"/>
                <w:numId w:val="3"/>
              </w:numPr>
              <w:spacing w:after="50" w:line="264"/>
            </w:pPr>
            <w:r>
              <w:rPr>
                <w:rFonts w:ascii="Calibri" w:cs="Calibri" w:eastAsia="Calibri" w:hAnsi="Calibri"/>
                <w:color w:val="222222"/>
                <w:sz w:val="21"/>
                <w:szCs w:val="21"/>
              </w:rPr>
              <w:t xml:space="preserve">Öffentliches Online-Terminbuchungsportal</w:t>
            </w:r>
          </w:p>
          <w:p>
            <w:pPr>
              <w:pStyle w:val="ListParagraph"/>
              <w:numPr>
                <w:ilvl w:val="0"/>
                <w:numId w:val="3"/>
              </w:numPr>
              <w:spacing w:after="50" w:line="264"/>
            </w:pPr>
            <w:r>
              <w:rPr>
                <w:rFonts w:ascii="Calibri" w:cs="Calibri" w:eastAsia="Calibri" w:hAnsi="Calibri"/>
                <w:color w:val="222222"/>
                <w:sz w:val="21"/>
                <w:szCs w:val="21"/>
              </w:rPr>
              <w:t xml:space="preserve">Laborbefund-Schnittstelle (Datenübertragung zum externen Labor)</w:t>
            </w:r>
          </w:p>
        </w:tc>
      </w:tr>
    </w:tbl>
    <w:p>
      <w:pPr>
        <w:spacing w:after="16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9026"/>
            <w:gridSpan w:val="2"/>
            <w:shd w:fill="003366" w:val="clear"/>
            <w:tcMar>
              <w:top w:type="dxa" w:w="100"/>
              <w:left w:type="dxa" w:w="140"/>
              <w:bottom w:type="dxa" w:w="100"/>
              <w:right w:type="dxa" w:w="140"/>
            </w:tcMar>
          </w:tcPr>
          <w:p>
            <w:r>
              <w:rPr>
                <w:rFonts w:ascii="Calibri" w:cs="Calibri" w:eastAsia="Calibri" w:hAnsi="Calibri"/>
                <w:b/>
                <w:bCs/>
                <w:color w:val="FFFFFF"/>
                <w:sz w:val="24"/>
                <w:szCs w:val="24"/>
              </w:rPr>
              <w:t xml:space="preserve">Szenario B – BalticShop GmbH</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Branche</w:t>
            </w:r>
          </w:p>
        </w:tc>
        <w:tc>
          <w:tcPr>
            <w:tcW w:type="dxa" w:w="6826"/>
            <w:tcMar>
              <w:top w:type="dxa" w:w="90"/>
              <w:left w:type="dxa" w:w="120"/>
              <w:bottom w:type="dxa" w:w="90"/>
              <w:right w:type="dxa" w:w="120"/>
            </w:tcMar>
          </w:tcPr>
          <w:p>
            <w:r>
              <w:rPr>
                <w:rFonts w:ascii="Calibri" w:cs="Calibri" w:eastAsia="Calibri" w:hAnsi="Calibri"/>
                <w:color w:val="222222"/>
                <w:sz w:val="21"/>
                <w:szCs w:val="21"/>
              </w:rPr>
              <w:t xml:space="preserve">Online-Versandhändler in Lübeck</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Ausgangslage</w:t>
            </w:r>
          </w:p>
        </w:tc>
        <w:tc>
          <w:tcPr>
            <w:tcW w:type="dxa" w:w="6826"/>
            <w:tcMar>
              <w:top w:type="dxa" w:w="90"/>
              <w:left w:type="dxa" w:w="120"/>
              <w:bottom w:type="dxa" w:w="90"/>
              <w:right w:type="dxa" w:w="120"/>
            </w:tcMar>
          </w:tcPr>
          <w:p>
            <w:pPr>
              <w:spacing w:line="264"/>
            </w:pPr>
            <w:r>
              <w:rPr>
                <w:rFonts w:ascii="Calibri" w:cs="Calibri" w:eastAsia="Calibri" w:hAnsi="Calibri"/>
                <w:color w:val="222222"/>
                <w:sz w:val="21"/>
                <w:szCs w:val="21"/>
              </w:rPr>
              <w:t xml:space="preserve">Der Webshop ist die einzige Einnahmequelle; jede Stunde Ausfall kostet Umsatz. Es werden Kundenkonten mit Adressen und Zahlungsdaten gespeichert. Die Warenwirtschaft steuert Lager und Versand.</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Zu bewertende Assets</w:t>
            </w:r>
          </w:p>
        </w:tc>
        <w:tc>
          <w:tcPr>
            <w:tcW w:type="dxa" w:w="6826"/>
            <w:tcMar>
              <w:top w:type="dxa" w:w="90"/>
              <w:left w:type="dxa" w:w="120"/>
              <w:bottom w:type="dxa" w:w="90"/>
              <w:right w:type="dxa" w:w="120"/>
            </w:tcMar>
          </w:tcPr>
          <w:p>
            <w:pPr>
              <w:pStyle w:val="ListParagraph"/>
              <w:numPr>
                <w:ilvl w:val="0"/>
                <w:numId w:val="4"/>
              </w:numPr>
              <w:spacing w:after="50" w:line="264"/>
            </w:pPr>
            <w:r>
              <w:rPr>
                <w:rFonts w:ascii="Calibri" w:cs="Calibri" w:eastAsia="Calibri" w:hAnsi="Calibri"/>
                <w:color w:val="222222"/>
                <w:sz w:val="21"/>
                <w:szCs w:val="21"/>
              </w:rPr>
              <w:t xml:space="preserve">Webshop (Bestellsystem, öffentlich erreichbar)</w:t>
            </w:r>
          </w:p>
          <w:p>
            <w:pPr>
              <w:pStyle w:val="ListParagraph"/>
              <w:numPr>
                <w:ilvl w:val="0"/>
                <w:numId w:val="4"/>
              </w:numPr>
              <w:spacing w:after="50" w:line="264"/>
            </w:pPr>
            <w:r>
              <w:rPr>
                <w:rFonts w:ascii="Calibri" w:cs="Calibri" w:eastAsia="Calibri" w:hAnsi="Calibri"/>
                <w:color w:val="222222"/>
                <w:sz w:val="21"/>
                <w:szCs w:val="21"/>
              </w:rPr>
              <w:t xml:space="preserve">Kundendatenbank (Namen, Adressen, Zahlungsdaten)</w:t>
            </w:r>
          </w:p>
          <w:p>
            <w:pPr>
              <w:pStyle w:val="ListParagraph"/>
              <w:numPr>
                <w:ilvl w:val="0"/>
                <w:numId w:val="4"/>
              </w:numPr>
              <w:spacing w:after="50" w:line="264"/>
            </w:pPr>
            <w:r>
              <w:rPr>
                <w:rFonts w:ascii="Calibri" w:cs="Calibri" w:eastAsia="Calibri" w:hAnsi="Calibri"/>
                <w:color w:val="222222"/>
                <w:sz w:val="21"/>
                <w:szCs w:val="21"/>
              </w:rPr>
              <w:t xml:space="preserve">Warenwirtschaftssystem (Lager, Versandsteuerung)</w:t>
            </w:r>
          </w:p>
        </w:tc>
      </w:tr>
    </w:tbl>
    <w:p>
      <w:pPr>
        <w:spacing w:after="16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9026"/>
            <w:gridSpan w:val="2"/>
            <w:shd w:fill="003366" w:val="clear"/>
            <w:tcMar>
              <w:top w:type="dxa" w:w="100"/>
              <w:left w:type="dxa" w:w="140"/>
              <w:bottom w:type="dxa" w:w="100"/>
              <w:right w:type="dxa" w:w="140"/>
            </w:tcMar>
          </w:tcPr>
          <w:p>
            <w:r>
              <w:rPr>
                <w:rFonts w:ascii="Calibri" w:cs="Calibri" w:eastAsia="Calibri" w:hAnsi="Calibri"/>
                <w:b/>
                <w:bCs/>
                <w:color w:val="FFFFFF"/>
                <w:sz w:val="24"/>
                <w:szCs w:val="24"/>
              </w:rPr>
              <w:t xml:space="preserve">Szenario C – Förde Stadtwerke AG</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Branche</w:t>
            </w:r>
          </w:p>
        </w:tc>
        <w:tc>
          <w:tcPr>
            <w:tcW w:type="dxa" w:w="6826"/>
            <w:tcMar>
              <w:top w:type="dxa" w:w="90"/>
              <w:left w:type="dxa" w:w="120"/>
              <w:bottom w:type="dxa" w:w="90"/>
              <w:right w:type="dxa" w:w="120"/>
            </w:tcMar>
          </w:tcPr>
          <w:p>
            <w:r>
              <w:rPr>
                <w:rFonts w:ascii="Calibri" w:cs="Calibri" w:eastAsia="Calibri" w:hAnsi="Calibri"/>
                <w:color w:val="222222"/>
                <w:sz w:val="21"/>
                <w:szCs w:val="21"/>
              </w:rPr>
              <w:t xml:space="preserve">Regionaler Energieversorger in Flensburg</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Ausgangslage</w:t>
            </w:r>
          </w:p>
        </w:tc>
        <w:tc>
          <w:tcPr>
            <w:tcW w:type="dxa" w:w="6826"/>
            <w:tcMar>
              <w:top w:type="dxa" w:w="90"/>
              <w:left w:type="dxa" w:w="120"/>
              <w:bottom w:type="dxa" w:w="90"/>
              <w:right w:type="dxa" w:w="120"/>
            </w:tcMar>
          </w:tcPr>
          <w:p>
            <w:pPr>
              <w:spacing w:line="264"/>
            </w:pPr>
            <w:r>
              <w:rPr>
                <w:rFonts w:ascii="Calibri" w:cs="Calibri" w:eastAsia="Calibri" w:hAnsi="Calibri"/>
                <w:color w:val="222222"/>
                <w:sz w:val="21"/>
                <w:szCs w:val="21"/>
              </w:rPr>
              <w:t xml:space="preserve">Die Stadtwerke betreiben eine Leittechnik zur Steuerung des Stromnetzes, ein Kundenportal für Abrechnungen und ein internes Dokumentenarchiv. Ein Ausfall oder eine Manipulation der Leittechnik könnte die Versorgung gefährden (KRITIS).</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Zu bewertende Assets</w:t>
            </w:r>
          </w:p>
        </w:tc>
        <w:tc>
          <w:tcPr>
            <w:tcW w:type="dxa" w:w="6826"/>
            <w:tcMar>
              <w:top w:type="dxa" w:w="90"/>
              <w:left w:type="dxa" w:w="120"/>
              <w:bottom w:type="dxa" w:w="90"/>
              <w:right w:type="dxa" w:w="120"/>
            </w:tcMar>
          </w:tcPr>
          <w:p>
            <w:pPr>
              <w:pStyle w:val="ListParagraph"/>
              <w:numPr>
                <w:ilvl w:val="0"/>
                <w:numId w:val="5"/>
              </w:numPr>
              <w:spacing w:after="50" w:line="264"/>
            </w:pPr>
            <w:r>
              <w:rPr>
                <w:rFonts w:ascii="Calibri" w:cs="Calibri" w:eastAsia="Calibri" w:hAnsi="Calibri"/>
                <w:color w:val="222222"/>
                <w:sz w:val="21"/>
                <w:szCs w:val="21"/>
              </w:rPr>
              <w:t xml:space="preserve">Netzleittechnik (Steuerung der Stromversorgung)</w:t>
            </w:r>
          </w:p>
          <w:p>
            <w:pPr>
              <w:pStyle w:val="ListParagraph"/>
              <w:numPr>
                <w:ilvl w:val="0"/>
                <w:numId w:val="5"/>
              </w:numPr>
              <w:spacing w:after="50" w:line="264"/>
            </w:pPr>
            <w:r>
              <w:rPr>
                <w:rFonts w:ascii="Calibri" w:cs="Calibri" w:eastAsia="Calibri" w:hAnsi="Calibri"/>
                <w:color w:val="222222"/>
                <w:sz w:val="21"/>
                <w:szCs w:val="21"/>
              </w:rPr>
              <w:t xml:space="preserve">Kundenportal mit Verbrauchs- und Abrechnungsdaten</w:t>
            </w:r>
          </w:p>
          <w:p>
            <w:pPr>
              <w:pStyle w:val="ListParagraph"/>
              <w:numPr>
                <w:ilvl w:val="0"/>
                <w:numId w:val="5"/>
              </w:numPr>
              <w:spacing w:after="50" w:line="264"/>
            </w:pPr>
            <w:r>
              <w:rPr>
                <w:rFonts w:ascii="Calibri" w:cs="Calibri" w:eastAsia="Calibri" w:hAnsi="Calibri"/>
                <w:color w:val="222222"/>
                <w:sz w:val="21"/>
                <w:szCs w:val="21"/>
              </w:rPr>
              <w:t xml:space="preserve">Internes Dokumentenarchiv (Verträge, Pläne)</w:t>
            </w:r>
          </w:p>
        </w:tc>
      </w:tr>
    </w:tbl>
    <w:p>
      <w:pPr>
        <w:spacing w:after="160"/>
      </w:pP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c>
          <w:tcPr>
            <w:tcW w:type="dxa" w:w="9026"/>
            <w:gridSpan w:val="2"/>
            <w:shd w:fill="003366" w:val="clear"/>
            <w:tcMar>
              <w:top w:type="dxa" w:w="100"/>
              <w:left w:type="dxa" w:w="140"/>
              <w:bottom w:type="dxa" w:w="100"/>
              <w:right w:type="dxa" w:w="140"/>
            </w:tcMar>
          </w:tcPr>
          <w:p>
            <w:r>
              <w:rPr>
                <w:rFonts w:ascii="Calibri" w:cs="Calibri" w:eastAsia="Calibri" w:hAnsi="Calibri"/>
                <w:b/>
                <w:bCs/>
                <w:color w:val="FFFFFF"/>
                <w:sz w:val="24"/>
                <w:szCs w:val="24"/>
              </w:rPr>
              <w:t xml:space="preserve">Szenario D – Hanse Steuerkanzlei</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Branche</w:t>
            </w:r>
          </w:p>
        </w:tc>
        <w:tc>
          <w:tcPr>
            <w:tcW w:type="dxa" w:w="6826"/>
            <w:tcMar>
              <w:top w:type="dxa" w:w="90"/>
              <w:left w:type="dxa" w:w="120"/>
              <w:bottom w:type="dxa" w:w="90"/>
              <w:right w:type="dxa" w:w="120"/>
            </w:tcMar>
          </w:tcPr>
          <w:p>
            <w:r>
              <w:rPr>
                <w:rFonts w:ascii="Calibri" w:cs="Calibri" w:eastAsia="Calibri" w:hAnsi="Calibri"/>
                <w:color w:val="222222"/>
                <w:sz w:val="21"/>
                <w:szCs w:val="21"/>
              </w:rPr>
              <w:t xml:space="preserve">Steuerberatungs- und Kanzleibetrieb in Rostock</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Ausgangslage</w:t>
            </w:r>
          </w:p>
        </w:tc>
        <w:tc>
          <w:tcPr>
            <w:tcW w:type="dxa" w:w="6826"/>
            <w:tcMar>
              <w:top w:type="dxa" w:w="90"/>
              <w:left w:type="dxa" w:w="120"/>
              <w:bottom w:type="dxa" w:w="90"/>
              <w:right w:type="dxa" w:w="120"/>
            </w:tcMar>
          </w:tcPr>
          <w:p>
            <w:pPr>
              <w:spacing w:line="264"/>
            </w:pPr>
            <w:r>
              <w:rPr>
                <w:rFonts w:ascii="Calibri" w:cs="Calibri" w:eastAsia="Calibri" w:hAnsi="Calibri"/>
                <w:color w:val="222222"/>
                <w:sz w:val="21"/>
                <w:szCs w:val="21"/>
              </w:rPr>
              <w:t xml:space="preserve">Die Kanzlei verwaltet Mandantendaten und Buchhaltungsunterlagen, kommuniziert per E-Mail mit Mandanten und Finanzämtern und unterliegt gesetzlichen Aufbewahrungsfristen. Vertraulichkeit der Mandantendaten ist geschäftskritisch.</w:t>
            </w:r>
          </w:p>
        </w:tc>
      </w:tr>
      <w:tr>
        <w:tc>
          <w:tcPr>
            <w:tcW w:type="dxa" w:w="2200"/>
            <w:shd w:fill="EEF5FB" w:val="clear"/>
            <w:tcMar>
              <w:top w:type="dxa" w:w="90"/>
              <w:left w:type="dxa" w:w="120"/>
              <w:bottom w:type="dxa" w:w="90"/>
              <w:right w:type="dxa" w:w="120"/>
            </w:tcMar>
          </w:tcPr>
          <w:p>
            <w:r>
              <w:rPr>
                <w:rFonts w:ascii="Calibri" w:cs="Calibri" w:eastAsia="Calibri" w:hAnsi="Calibri"/>
                <w:b/>
                <w:bCs/>
                <w:color w:val="003366"/>
                <w:sz w:val="21"/>
                <w:szCs w:val="21"/>
              </w:rPr>
              <w:t xml:space="preserve">Zu bewertende Assets</w:t>
            </w:r>
          </w:p>
        </w:tc>
        <w:tc>
          <w:tcPr>
            <w:tcW w:type="dxa" w:w="6826"/>
            <w:tcMar>
              <w:top w:type="dxa" w:w="90"/>
              <w:left w:type="dxa" w:w="120"/>
              <w:bottom w:type="dxa" w:w="90"/>
              <w:right w:type="dxa" w:w="120"/>
            </w:tcMar>
          </w:tcPr>
          <w:p>
            <w:pPr>
              <w:pStyle w:val="ListParagraph"/>
              <w:numPr>
                <w:ilvl w:val="0"/>
                <w:numId w:val="6"/>
              </w:numPr>
              <w:spacing w:after="50" w:line="264"/>
            </w:pPr>
            <w:r>
              <w:rPr>
                <w:rFonts w:ascii="Calibri" w:cs="Calibri" w:eastAsia="Calibri" w:hAnsi="Calibri"/>
                <w:color w:val="222222"/>
                <w:sz w:val="21"/>
                <w:szCs w:val="21"/>
              </w:rPr>
              <w:t xml:space="preserve">Mandanten- und Buchhaltungsdaten (Kanzleisoftware)</w:t>
            </w:r>
          </w:p>
          <w:p>
            <w:pPr>
              <w:pStyle w:val="ListParagraph"/>
              <w:numPr>
                <w:ilvl w:val="0"/>
                <w:numId w:val="6"/>
              </w:numPr>
              <w:spacing w:after="50" w:line="264"/>
            </w:pPr>
            <w:r>
              <w:rPr>
                <w:rFonts w:ascii="Calibri" w:cs="Calibri" w:eastAsia="Calibri" w:hAnsi="Calibri"/>
                <w:color w:val="222222"/>
                <w:sz w:val="21"/>
                <w:szCs w:val="21"/>
              </w:rPr>
              <w:t xml:space="preserve">E-Mail-Kommunikation mit Mandanten und Behörden</w:t>
            </w:r>
          </w:p>
          <w:p>
            <w:pPr>
              <w:pStyle w:val="ListParagraph"/>
              <w:numPr>
                <w:ilvl w:val="0"/>
                <w:numId w:val="6"/>
              </w:numPr>
              <w:spacing w:after="50" w:line="264"/>
            </w:pPr>
            <w:r>
              <w:rPr>
                <w:rFonts w:ascii="Calibri" w:cs="Calibri" w:eastAsia="Calibri" w:hAnsi="Calibri"/>
                <w:color w:val="222222"/>
                <w:sz w:val="21"/>
                <w:szCs w:val="21"/>
              </w:rPr>
              <w:t xml:space="preserve">Langzeitarchiv der Buchhaltungsunterlagen (10 Jahre)</w:t>
            </w:r>
          </w:p>
        </w:tc>
      </w:tr>
    </w:tbl>
    <w:p>
      <w:r>
        <w:br w:type="page"/>
      </w:r>
    </w:p>
    <w:p>
      <w:pPr>
        <w:pStyle w:val="Heading1"/>
        <w:pBdr>
          <w:bottom w:val="single" w:color="F0A500" w:sz="8"/>
        </w:pBdr>
        <w:spacing w:after="140" w:before="320"/>
      </w:pPr>
      <w:r>
        <w:rPr>
          <w:rFonts w:ascii="Calibri" w:cs="Calibri" w:eastAsia="Calibri" w:hAnsi="Calibri"/>
          <w:b/>
          <w:bCs/>
          <w:color w:val="003366"/>
          <w:sz w:val="28"/>
          <w:szCs w:val="28"/>
        </w:rPr>
        <w:t xml:space="preserve">Vorlage: Schutzbedarfstabelle</w:t>
      </w:r>
    </w:p>
    <w:p>
      <w:pPr>
        <w:spacing w:after="140" w:line="276"/>
      </w:pPr>
      <w:r>
        <w:rPr>
          <w:rFonts w:ascii="Calibri" w:cs="Calibri" w:eastAsia="Calibri" w:hAnsi="Calibri"/>
          <w:b w:val="false"/>
          <w:bCs w:val="false"/>
          <w:i w:val="false"/>
          <w:iCs w:val="false"/>
          <w:color w:val="222222"/>
          <w:sz w:val="22"/>
          <w:szCs w:val="22"/>
        </w:rPr>
        <w:t xml:space="preserve">Für jedes Asset eine Zeile ausfüllen. V = Vertraulichkeit, I = Integrität, Vf = Verfügbarkeit. Tragt je Schutzziel normal / hoch / sehr hoch ein und notiert die Begründung.</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26"/>
        <w:gridCol w:w="1200"/>
        <w:gridCol w:w="1200"/>
        <w:gridCol w:w="1200"/>
        <w:gridCol w:w="3000"/>
      </w:tblGrid>
      <w:tr>
        <w:trPr>
          <w:tblHeader/>
        </w:trPr>
        <w:tc>
          <w:tcPr>
            <w:tcW w:type="dxa" w:w="2426"/>
            <w:shd w:fill="003366" w:val="clear"/>
            <w:tcMar>
              <w:top w:type="dxa" w:w="80"/>
              <w:left w:type="dxa" w:w="90"/>
              <w:bottom w:type="dxa" w:w="80"/>
              <w:right w:type="dxa" w:w="90"/>
            </w:tcMar>
          </w:tcPr>
          <w:p>
            <w:r>
              <w:rPr>
                <w:rFonts w:ascii="Calibri" w:cs="Calibri" w:eastAsia="Calibri" w:hAnsi="Calibri"/>
                <w:b/>
                <w:bCs/>
                <w:color w:val="FFFFFF"/>
                <w:sz w:val="20"/>
                <w:szCs w:val="20"/>
              </w:rPr>
              <w:t xml:space="preserve">Asset</w:t>
            </w:r>
          </w:p>
        </w:tc>
        <w:tc>
          <w:tcPr>
            <w:tcW w:type="dxa" w:w="12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V</w:t>
            </w:r>
          </w:p>
        </w:tc>
        <w:tc>
          <w:tcPr>
            <w:tcW w:type="dxa" w:w="12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I</w:t>
            </w:r>
          </w:p>
        </w:tc>
        <w:tc>
          <w:tcPr>
            <w:tcW w:type="dxa" w:w="12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Vf</w:t>
            </w:r>
          </w:p>
        </w:tc>
        <w:tc>
          <w:tcPr>
            <w:tcW w:type="dxa" w:w="30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Begründung (Schaden)</w:t>
            </w:r>
          </w:p>
        </w:tc>
      </w:tr>
      <w:tr>
        <w:tc>
          <w:tcPr>
            <w:tcW w:type="dxa" w:w="2426"/>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3000"/>
            <w:tcMar>
              <w:top w:type="dxa" w:w="130"/>
              <w:left w:type="dxa" w:w="90"/>
              <w:bottom w:type="dxa" w:w="130"/>
              <w:right w:type="dxa" w:w="90"/>
            </w:tcMar>
          </w:tcPr>
          <w:p>
            <w:r>
              <w:rPr>
                <w:rFonts w:ascii="Calibri" w:cs="Calibri" w:eastAsia="Calibri" w:hAnsi="Calibri"/>
                <w:sz w:val="20"/>
                <w:szCs w:val="20"/>
              </w:rPr>
              <w:t xml:space="preserve"> </w:t>
            </w:r>
          </w:p>
        </w:tc>
      </w:tr>
      <w:tr>
        <w:tc>
          <w:tcPr>
            <w:tcW w:type="dxa" w:w="2426"/>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3000"/>
            <w:tcMar>
              <w:top w:type="dxa" w:w="130"/>
              <w:left w:type="dxa" w:w="90"/>
              <w:bottom w:type="dxa" w:w="130"/>
              <w:right w:type="dxa" w:w="90"/>
            </w:tcMar>
          </w:tcPr>
          <w:p>
            <w:r>
              <w:rPr>
                <w:rFonts w:ascii="Calibri" w:cs="Calibri" w:eastAsia="Calibri" w:hAnsi="Calibri"/>
                <w:sz w:val="20"/>
                <w:szCs w:val="20"/>
              </w:rPr>
              <w:t xml:space="preserve"> </w:t>
            </w:r>
          </w:p>
        </w:tc>
      </w:tr>
      <w:tr>
        <w:tc>
          <w:tcPr>
            <w:tcW w:type="dxa" w:w="2426"/>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3000"/>
            <w:tcMar>
              <w:top w:type="dxa" w:w="130"/>
              <w:left w:type="dxa" w:w="90"/>
              <w:bottom w:type="dxa" w:w="130"/>
              <w:right w:type="dxa" w:w="90"/>
            </w:tcMar>
          </w:tcPr>
          <w:p>
            <w:r>
              <w:rPr>
                <w:rFonts w:ascii="Calibri" w:cs="Calibri" w:eastAsia="Calibri" w:hAnsi="Calibri"/>
                <w:sz w:val="20"/>
                <w:szCs w:val="20"/>
              </w:rPr>
              <w:t xml:space="preserve"> </w:t>
            </w:r>
          </w:p>
        </w:tc>
      </w:tr>
      <w:tr>
        <w:tc>
          <w:tcPr>
            <w:tcW w:type="dxa" w:w="2426"/>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3000"/>
            <w:tcMar>
              <w:top w:type="dxa" w:w="130"/>
              <w:left w:type="dxa" w:w="90"/>
              <w:bottom w:type="dxa" w:w="130"/>
              <w:right w:type="dxa" w:w="90"/>
            </w:tcMar>
          </w:tcPr>
          <w:p>
            <w:r>
              <w:rPr>
                <w:rFonts w:ascii="Calibri" w:cs="Calibri" w:eastAsia="Calibri" w:hAnsi="Calibri"/>
                <w:sz w:val="20"/>
                <w:szCs w:val="20"/>
              </w:rPr>
              <w:t xml:space="preserve"> </w:t>
            </w:r>
          </w:p>
        </w:tc>
      </w:tr>
      <w:tr>
        <w:tc>
          <w:tcPr>
            <w:tcW w:type="dxa" w:w="2426"/>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1200"/>
            <w:tcMar>
              <w:top w:type="dxa" w:w="130"/>
              <w:left w:type="dxa" w:w="90"/>
              <w:bottom w:type="dxa" w:w="130"/>
              <w:right w:type="dxa" w:w="90"/>
            </w:tcMar>
          </w:tcPr>
          <w:p>
            <w:r>
              <w:rPr>
                <w:rFonts w:ascii="Calibri" w:cs="Calibri" w:eastAsia="Calibri" w:hAnsi="Calibri"/>
                <w:sz w:val="20"/>
                <w:szCs w:val="20"/>
              </w:rPr>
              <w:t xml:space="preserve"> </w:t>
            </w:r>
          </w:p>
        </w:tc>
        <w:tc>
          <w:tcPr>
            <w:tcW w:type="dxa" w:w="3000"/>
            <w:tcMar>
              <w:top w:type="dxa" w:w="130"/>
              <w:left w:type="dxa" w:w="90"/>
              <w:bottom w:type="dxa" w:w="130"/>
              <w:right w:type="dxa" w:w="90"/>
            </w:tcMar>
          </w:tcPr>
          <w:p>
            <w:r>
              <w:rPr>
                <w:rFonts w:ascii="Calibri" w:cs="Calibri" w:eastAsia="Calibri" w:hAnsi="Calibri"/>
                <w:sz w:val="20"/>
                <w:szCs w:val="20"/>
              </w:rPr>
              <w:t xml:space="preserve"> </w:t>
            </w:r>
          </w:p>
        </w:tc>
      </w:tr>
    </w:tbl>
    <w:p>
      <w:pPr>
        <w:spacing w:after="160"/>
      </w:pPr>
    </w:p>
    <w:p>
      <w:pPr>
        <w:pStyle w:val="Heading2"/>
        <w:spacing w:after="100" w:before="220"/>
      </w:pPr>
      <w:r>
        <w:rPr>
          <w:rFonts w:ascii="Calibri" w:cs="Calibri" w:eastAsia="Calibri" w:hAnsi="Calibri"/>
          <w:b/>
          <w:bCs/>
          <w:color w:val="0066AA"/>
          <w:sz w:val="24"/>
          <w:szCs w:val="24"/>
        </w:rPr>
        <w:t xml:space="preserve">Maßnahmen (priorisiert)</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900"/>
        <w:gridCol w:w="4626"/>
        <w:gridCol w:w="2400"/>
        <w:gridCol w:w="1100"/>
      </w:tblGrid>
      <w:tr>
        <w:trPr>
          <w:tblHeader/>
        </w:trPr>
        <w:tc>
          <w:tcPr>
            <w:tcW w:type="dxa" w:w="9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Prio</w:t>
            </w:r>
          </w:p>
        </w:tc>
        <w:tc>
          <w:tcPr>
            <w:tcW w:type="dxa" w:w="4626"/>
            <w:shd w:fill="003366" w:val="clear"/>
            <w:tcMar>
              <w:top w:type="dxa" w:w="80"/>
              <w:left w:type="dxa" w:w="90"/>
              <w:bottom w:type="dxa" w:w="80"/>
              <w:right w:type="dxa" w:w="90"/>
            </w:tcMar>
          </w:tcPr>
          <w:p>
            <w:r>
              <w:rPr>
                <w:rFonts w:ascii="Calibri" w:cs="Calibri" w:eastAsia="Calibri" w:hAnsi="Calibri"/>
                <w:b/>
                <w:bCs/>
                <w:color w:val="FFFFFF"/>
                <w:sz w:val="20"/>
                <w:szCs w:val="20"/>
              </w:rPr>
              <w:t xml:space="preserve">Maßnahme</w:t>
            </w:r>
          </w:p>
        </w:tc>
        <w:tc>
          <w:tcPr>
            <w:tcW w:type="dxa" w:w="24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Schutzziel</w:t>
            </w:r>
          </w:p>
        </w:tc>
        <w:tc>
          <w:tcPr>
            <w:tcW w:type="dxa" w:w="1100"/>
            <w:shd w:fill="003366" w:val="clear"/>
            <w:tcMar>
              <w:top w:type="dxa" w:w="80"/>
              <w:left w:type="dxa" w:w="90"/>
              <w:bottom w:type="dxa" w:w="80"/>
              <w:right w:type="dxa" w:w="90"/>
            </w:tcMar>
          </w:tcPr>
          <w:p>
            <w:r>
              <w:rPr>
                <w:rFonts w:ascii="Calibri" w:cs="Calibri" w:eastAsia="Calibri" w:hAnsi="Calibri"/>
                <w:b/>
                <w:bCs/>
                <w:color w:val="FFFFFF"/>
                <w:sz w:val="20"/>
                <w:szCs w:val="20"/>
              </w:rPr>
              <w:t xml:space="preserve">Aufwand</w:t>
            </w:r>
          </w:p>
        </w:tc>
      </w:tr>
      <w:tr>
        <w:tc>
          <w:tcPr>
            <w:tcW w:type="dxa" w:w="900"/>
            <w:tcMar>
              <w:top w:type="dxa" w:w="130"/>
              <w:left w:type="dxa" w:w="90"/>
              <w:bottom w:type="dxa" w:w="130"/>
              <w:right w:type="dxa" w:w="90"/>
            </w:tcMar>
          </w:tcPr>
          <w:p>
            <w:r>
              <w:rPr>
                <w:rFonts w:ascii="Calibri" w:cs="Calibri" w:eastAsia="Calibri" w:hAnsi="Calibri"/>
                <w:sz w:val="20"/>
                <w:szCs w:val="20"/>
              </w:rPr>
              <w:t xml:space="preserve"> </w:t>
            </w:r>
          </w:p>
        </w:tc>
        <w:tc>
          <w:tcPr>
            <w:tcW w:type="dxa" w:w="4626"/>
            <w:tcMar>
              <w:top w:type="dxa" w:w="130"/>
              <w:left w:type="dxa" w:w="90"/>
              <w:bottom w:type="dxa" w:w="130"/>
              <w:right w:type="dxa" w:w="90"/>
            </w:tcMar>
          </w:tcPr>
          <w:p>
            <w:r>
              <w:rPr>
                <w:rFonts w:ascii="Calibri" w:cs="Calibri" w:eastAsia="Calibri" w:hAnsi="Calibri"/>
                <w:sz w:val="20"/>
                <w:szCs w:val="20"/>
              </w:rPr>
              <w:t xml:space="preserve"> </w:t>
            </w:r>
          </w:p>
        </w:tc>
        <w:tc>
          <w:tcPr>
            <w:tcW w:type="dxa" w:w="2400"/>
            <w:tcMar>
              <w:top w:type="dxa" w:w="130"/>
              <w:left w:type="dxa" w:w="90"/>
              <w:bottom w:type="dxa" w:w="130"/>
              <w:right w:type="dxa" w:w="90"/>
            </w:tcMar>
          </w:tcPr>
          <w:p>
            <w:r>
              <w:rPr>
                <w:rFonts w:ascii="Calibri" w:cs="Calibri" w:eastAsia="Calibri" w:hAnsi="Calibri"/>
                <w:sz w:val="20"/>
                <w:szCs w:val="20"/>
              </w:rPr>
              <w:t xml:space="preserve"> </w:t>
            </w:r>
          </w:p>
        </w:tc>
        <w:tc>
          <w:tcPr>
            <w:tcW w:type="dxa" w:w="1100"/>
            <w:tcMar>
              <w:top w:type="dxa" w:w="130"/>
              <w:left w:type="dxa" w:w="90"/>
              <w:bottom w:type="dxa" w:w="130"/>
              <w:right w:type="dxa" w:w="90"/>
            </w:tcMar>
          </w:tcPr>
          <w:p>
            <w:r>
              <w:rPr>
                <w:rFonts w:ascii="Calibri" w:cs="Calibri" w:eastAsia="Calibri" w:hAnsi="Calibri"/>
                <w:sz w:val="20"/>
                <w:szCs w:val="20"/>
              </w:rPr>
              <w:t xml:space="preserve"> </w:t>
            </w:r>
          </w:p>
        </w:tc>
      </w:tr>
      <w:tr>
        <w:tc>
          <w:tcPr>
            <w:tcW w:type="dxa" w:w="900"/>
            <w:tcMar>
              <w:top w:type="dxa" w:w="130"/>
              <w:left w:type="dxa" w:w="90"/>
              <w:bottom w:type="dxa" w:w="130"/>
              <w:right w:type="dxa" w:w="90"/>
            </w:tcMar>
          </w:tcPr>
          <w:p>
            <w:r>
              <w:rPr>
                <w:rFonts w:ascii="Calibri" w:cs="Calibri" w:eastAsia="Calibri" w:hAnsi="Calibri"/>
                <w:sz w:val="20"/>
                <w:szCs w:val="20"/>
              </w:rPr>
              <w:t xml:space="preserve"> </w:t>
            </w:r>
          </w:p>
        </w:tc>
        <w:tc>
          <w:tcPr>
            <w:tcW w:type="dxa" w:w="4626"/>
            <w:tcMar>
              <w:top w:type="dxa" w:w="130"/>
              <w:left w:type="dxa" w:w="90"/>
              <w:bottom w:type="dxa" w:w="130"/>
              <w:right w:type="dxa" w:w="90"/>
            </w:tcMar>
          </w:tcPr>
          <w:p>
            <w:r>
              <w:rPr>
                <w:rFonts w:ascii="Calibri" w:cs="Calibri" w:eastAsia="Calibri" w:hAnsi="Calibri"/>
                <w:sz w:val="20"/>
                <w:szCs w:val="20"/>
              </w:rPr>
              <w:t xml:space="preserve"> </w:t>
            </w:r>
          </w:p>
        </w:tc>
        <w:tc>
          <w:tcPr>
            <w:tcW w:type="dxa" w:w="2400"/>
            <w:tcMar>
              <w:top w:type="dxa" w:w="130"/>
              <w:left w:type="dxa" w:w="90"/>
              <w:bottom w:type="dxa" w:w="130"/>
              <w:right w:type="dxa" w:w="90"/>
            </w:tcMar>
          </w:tcPr>
          <w:p>
            <w:r>
              <w:rPr>
                <w:rFonts w:ascii="Calibri" w:cs="Calibri" w:eastAsia="Calibri" w:hAnsi="Calibri"/>
                <w:sz w:val="20"/>
                <w:szCs w:val="20"/>
              </w:rPr>
              <w:t xml:space="preserve"> </w:t>
            </w:r>
          </w:p>
        </w:tc>
        <w:tc>
          <w:tcPr>
            <w:tcW w:type="dxa" w:w="1100"/>
            <w:tcMar>
              <w:top w:type="dxa" w:w="130"/>
              <w:left w:type="dxa" w:w="90"/>
              <w:bottom w:type="dxa" w:w="130"/>
              <w:right w:type="dxa" w:w="90"/>
            </w:tcMar>
          </w:tcPr>
          <w:p>
            <w:r>
              <w:rPr>
                <w:rFonts w:ascii="Calibri" w:cs="Calibri" w:eastAsia="Calibri" w:hAnsi="Calibri"/>
                <w:sz w:val="20"/>
                <w:szCs w:val="20"/>
              </w:rPr>
              <w:t xml:space="preserve"> </w:t>
            </w:r>
          </w:p>
        </w:tc>
      </w:tr>
      <w:tr>
        <w:tc>
          <w:tcPr>
            <w:tcW w:type="dxa" w:w="900"/>
            <w:tcMar>
              <w:top w:type="dxa" w:w="130"/>
              <w:left w:type="dxa" w:w="90"/>
              <w:bottom w:type="dxa" w:w="130"/>
              <w:right w:type="dxa" w:w="90"/>
            </w:tcMar>
          </w:tcPr>
          <w:p>
            <w:r>
              <w:rPr>
                <w:rFonts w:ascii="Calibri" w:cs="Calibri" w:eastAsia="Calibri" w:hAnsi="Calibri"/>
                <w:sz w:val="20"/>
                <w:szCs w:val="20"/>
              </w:rPr>
              <w:t xml:space="preserve"> </w:t>
            </w:r>
          </w:p>
        </w:tc>
        <w:tc>
          <w:tcPr>
            <w:tcW w:type="dxa" w:w="4626"/>
            <w:tcMar>
              <w:top w:type="dxa" w:w="130"/>
              <w:left w:type="dxa" w:w="90"/>
              <w:bottom w:type="dxa" w:w="130"/>
              <w:right w:type="dxa" w:w="90"/>
            </w:tcMar>
          </w:tcPr>
          <w:p>
            <w:r>
              <w:rPr>
                <w:rFonts w:ascii="Calibri" w:cs="Calibri" w:eastAsia="Calibri" w:hAnsi="Calibri"/>
                <w:sz w:val="20"/>
                <w:szCs w:val="20"/>
              </w:rPr>
              <w:t xml:space="preserve"> </w:t>
            </w:r>
          </w:p>
        </w:tc>
        <w:tc>
          <w:tcPr>
            <w:tcW w:type="dxa" w:w="2400"/>
            <w:tcMar>
              <w:top w:type="dxa" w:w="130"/>
              <w:left w:type="dxa" w:w="90"/>
              <w:bottom w:type="dxa" w:w="130"/>
              <w:right w:type="dxa" w:w="90"/>
            </w:tcMar>
          </w:tcPr>
          <w:p>
            <w:r>
              <w:rPr>
                <w:rFonts w:ascii="Calibri" w:cs="Calibri" w:eastAsia="Calibri" w:hAnsi="Calibri"/>
                <w:sz w:val="20"/>
                <w:szCs w:val="20"/>
              </w:rPr>
              <w:t xml:space="preserve"> </w:t>
            </w:r>
          </w:p>
        </w:tc>
        <w:tc>
          <w:tcPr>
            <w:tcW w:type="dxa" w:w="1100"/>
            <w:tcMar>
              <w:top w:type="dxa" w:w="130"/>
              <w:left w:type="dxa" w:w="90"/>
              <w:bottom w:type="dxa" w:w="130"/>
              <w:right w:type="dxa" w:w="90"/>
            </w:tcMar>
          </w:tcPr>
          <w:p>
            <w:r>
              <w:rPr>
                <w:rFonts w:ascii="Calibri" w:cs="Calibri" w:eastAsia="Calibri" w:hAnsi="Calibri"/>
                <w:sz w:val="20"/>
                <w:szCs w:val="20"/>
              </w:rPr>
              <w:t xml:space="preserve"> </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E5 Gruppenarbeitsauftrag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420" w:hanging="280"/>
      </w:pPr>
    </w:lvl>
  </w:abstractNum>
  <w:abstractNum w:abstractNumId="4" w15:restartNumberingAfterBreak="0">
    <w:multiLevelType w:val="hybridMultilevel"/>
    <w:lvl w:ilvl="0" w15:tentative="1">
      <w:start w:val="1"/>
      <w:numFmt w:val="bullet"/>
      <w:lvlText w:val="–"/>
      <w:lvlJc w:val="left"/>
      <w:pPr>
        <w:ind w:left="300" w:hanging="200"/>
      </w:pPr>
    </w:lvl>
  </w:abstractNum>
  <w:abstractNum w:abstractNumId="5" w15:restartNumberingAfterBreak="0">
    <w:multiLevelType w:val="hybridMultilevel"/>
    <w:lvl w:ilvl="0" w15:tentative="1">
      <w:start w:val="1"/>
      <w:numFmt w:val="bullet"/>
      <w:lvlText w:val="–"/>
      <w:lvlJc w:val="left"/>
      <w:pPr>
        <w:ind w:left="300" w:hanging="200"/>
      </w:pPr>
    </w:lvl>
  </w:abstractNum>
  <w:abstractNum w:abstractNumId="6" w15:restartNumberingAfterBreak="0">
    <w:multiLevelType w:val="hybridMultilevel"/>
    <w:lvl w:ilvl="0" w15:tentative="1">
      <w:start w:val="1"/>
      <w:numFmt w:val="bullet"/>
      <w:lvlText w:val="–"/>
      <w:lvlJc w:val="left"/>
      <w:pPr>
        <w:ind w:left="300" w:hanging="200"/>
      </w:pPr>
    </w:lvl>
  </w:abstractNum>
  <w:abstractNum w:abstractNumId="7"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2026-07-04T16:05:30.906Z</dcterms:created>
  <dcterms:modified xsi:type="dcterms:W3CDTF">2026-07-04T16:05:30.906Z</dcterms:modified>
</cp:coreProperties>
</file>

<file path=docProps/custom.xml><?xml version="1.0" encoding="utf-8"?>
<Properties xmlns="http://schemas.openxmlformats.org/officeDocument/2006/custom-properties" xmlns:vt="http://schemas.openxmlformats.org/officeDocument/2006/docPropsVTypes"/>
</file>