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40"/>
          <w:szCs w:val="40"/>
        </w:rPr>
        <w:t xml:space="preserve">Backup &amp; Restore</w:t>
      </w:r>
    </w:p>
    <w:p>
      <w:pPr>
        <w:spacing w:after="40"/>
      </w:pPr>
      <w:r>
        <w:rPr>
          <w:rFonts w:ascii="Calibri" w:cs="Calibri" w:eastAsia="Calibri" w:hAnsi="Calibri"/>
          <w:color w:val="0066AA"/>
          <w:sz w:val="26"/>
          <w:szCs w:val="26"/>
        </w:rPr>
        <w:t xml:space="preserve">Handout zur Etappe 2 · Modul L (Lernfeld 11)</w:t>
      </w:r>
    </w:p>
    <w:p>
      <w:pPr>
        <w:pBdr>
          <w:bottom w:val="single" w:color="F0A500" w:sz="12"/>
        </w:pBdr>
        <w:spacing w:after="240"/>
      </w:pPr>
      <w:r>
        <w:rPr>
          <w:rFonts w:ascii="Calibri" w:cs="Calibri" w:eastAsia="Calibri" w:hAnsi="Calibri"/>
          <w:color w:val="595959"/>
          <w:sz w:val="20"/>
          <w:szCs w:val="20"/>
        </w:rPr>
        <w:t xml:space="preserve">FISI · bfw Lübeck · Juli 2026</w:t>
      </w:r>
    </w:p>
    <w:p>
      <w:pPr>
        <w:pStyle w:val="Heading1"/>
        <w:pBdr>
          <w:bottom w:val="single" w:color="F0A500" w:sz="8"/>
        </w:pBdr>
        <w:spacing w:after="160" w:before="360"/>
      </w:pPr>
      <w:r>
        <w:rPr>
          <w:rFonts w:ascii="Calibri" w:cs="Calibri" w:eastAsia="Calibri" w:hAnsi="Calibri"/>
          <w:b/>
          <w:bCs/>
          <w:color w:val="003366"/>
          <w:sz w:val="30"/>
          <w:szCs w:val="30"/>
        </w:rPr>
        <w:t xml:space="preserve">1. Warum Backup? Die Grenzen von RAID</w:t>
      </w:r>
    </w:p>
    <w:p>
      <w:pPr>
        <w:spacing w:after="140" w:line="276"/>
      </w:pPr>
      <w:r>
        <w:rPr>
          <w:rFonts w:ascii="Calibri" w:cs="Calibri" w:eastAsia="Calibri" w:hAnsi="Calibri"/>
          <w:b w:val="false"/>
          <w:bCs w:val="false"/>
          <w:i w:val="false"/>
          <w:iCs w:val="false"/>
          <w:color w:val="222222"/>
          <w:sz w:val="22"/>
          <w:szCs w:val="22"/>
        </w:rPr>
        <w:t xml:space="preserve">In Etappe 1 haben wir festgehalten: RAID schützt gegen den physischen Ausfall von Festplatten – und gegen sonst nichts. Versehentliches Löschen spiegelt ein RAID in Sekundenbruchteilen auf alle Platten. Ransomware verschlüsselt alle erreichbaren Daten, egal auf wie vielen Platten sie liegen. Brand, Wasser oder Diebstahl treffen alle Platten eines Standorts gleichzeitig, und auch ein defekter RAID-Controller oder ein fehlgeschlagenes Update kann den gesamten Verbund unbrauchbar machen.</w:t>
      </w:r>
    </w:p>
    <w:p>
      <w:pPr>
        <w:spacing w:after="140" w:line="276"/>
      </w:pPr>
      <w:r>
        <w:rPr>
          <w:rFonts w:ascii="Calibri" w:cs="Calibri" w:eastAsia="Calibri" w:hAnsi="Calibri"/>
          <w:b w:val="false"/>
          <w:bCs w:val="false"/>
          <w:i w:val="false"/>
          <w:iCs w:val="false"/>
          <w:color w:val="222222"/>
          <w:sz w:val="22"/>
          <w:szCs w:val="22"/>
        </w:rPr>
        <w:t xml:space="preserve">Ein Backup ist deshalb etwas grundsätzlich anderes als Redundanz: eine zeitlich entkoppelte, räumlich und logisch getrennte Kopie der Daten. Kurz gefasst: RAID sichert die Verfügbarkeit, Backup sichert die Wiederherstellbarkeit.</w:t>
      </w:r>
    </w:p>
    <w:p>
      <w:pPr>
        <w:pStyle w:val="Heading1"/>
        <w:pBdr>
          <w:bottom w:val="single" w:color="F0A500" w:sz="8"/>
        </w:pBdr>
        <w:spacing w:after="160" w:before="360"/>
      </w:pPr>
      <w:r>
        <w:rPr>
          <w:rFonts w:ascii="Calibri" w:cs="Calibri" w:eastAsia="Calibri" w:hAnsi="Calibri"/>
          <w:b/>
          <w:bCs/>
          <w:color w:val="003366"/>
          <w:sz w:val="30"/>
          <w:szCs w:val="30"/>
        </w:rPr>
        <w:t xml:space="preserve">2. Sicherungsarten und Restore-Ketten</w:t>
      </w:r>
    </w:p>
    <w:p>
      <w:pPr>
        <w:spacing w:after="140" w:line="276"/>
      </w:pPr>
      <w:r>
        <w:rPr>
          <w:rFonts w:ascii="Calibri" w:cs="Calibri" w:eastAsia="Calibri" w:hAnsi="Calibri"/>
          <w:b w:val="false"/>
          <w:bCs w:val="false"/>
          <w:i w:val="false"/>
          <w:iCs w:val="false"/>
          <w:color w:val="222222"/>
          <w:sz w:val="22"/>
          <w:szCs w:val="22"/>
        </w:rPr>
        <w:t xml:space="preserve">Die Vollsicherung kopiert den kompletten Datenbestand. Sie ist die Basis jeder Strategie, braucht aber viel Zeit und Speicher. Die differenzielle Sicherung kopiert alles, was sich seit der letzten VOLLsicherung geändert hat – sie wächst deshalb von Tag zu Tag. Die inkrementelle Sicherung kopiert nur, was sich seit der LETZTEN Sicherung (egal welcher Art) geändert hat – sie bleibt klein, erzeugt aber eine Kette.</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2276"/>
        <w:gridCol w:w="2275"/>
        <w:gridCol w:w="2275"/>
      </w:tblGrid>
      <w:tr>
        <w:trPr>
          <w:tblHeader/>
        </w:trPr>
        <w:tc>
          <w:tcPr>
            <w:tcW w:type="dxa" w:w="22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Kriterium</w:t>
            </w:r>
          </w:p>
        </w:tc>
        <w:tc>
          <w:tcPr>
            <w:tcW w:type="dxa" w:w="227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Vollsicherung</w:t>
            </w:r>
          </w:p>
        </w:tc>
        <w:tc>
          <w:tcPr>
            <w:tcW w:type="dxa" w:w="2275"/>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Differenziell</w:t>
            </w:r>
          </w:p>
        </w:tc>
        <w:tc>
          <w:tcPr>
            <w:tcW w:type="dxa" w:w="2275"/>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Inkrementell</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Sichert</w:t>
            </w:r>
          </w:p>
        </w:tc>
        <w:tc>
          <w:tcPr>
            <w:tcW w:type="dxa" w:w="227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alles</w:t>
            </w:r>
          </w:p>
        </w:tc>
        <w:tc>
          <w:tcPr>
            <w:tcW w:type="dxa" w:w="2275"/>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alles seit letzter VOLLsicherung</w:t>
            </w:r>
          </w:p>
        </w:tc>
        <w:tc>
          <w:tcPr>
            <w:tcW w:type="dxa" w:w="2275"/>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alles seit LETZTER Sicherung</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Speicherbedarf</w:t>
            </w:r>
          </w:p>
        </w:tc>
        <w:tc>
          <w:tcPr>
            <w:tcW w:type="dxa" w:w="227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sehr hoch</w:t>
            </w:r>
          </w:p>
        </w:tc>
        <w:tc>
          <w:tcPr>
            <w:tcW w:type="dxa" w:w="2275"/>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mittel, wächst täglich</w:t>
            </w:r>
          </w:p>
        </w:tc>
        <w:tc>
          <w:tcPr>
            <w:tcW w:type="dxa" w:w="2275"/>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gering</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Sicherungsdauer</w:t>
            </w:r>
          </w:p>
        </w:tc>
        <w:tc>
          <w:tcPr>
            <w:tcW w:type="dxa" w:w="227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lang</w:t>
            </w:r>
          </w:p>
        </w:tc>
        <w:tc>
          <w:tcPr>
            <w:tcW w:type="dxa" w:w="2275"/>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mittel, wächst</w:t>
            </w:r>
          </w:p>
        </w:tc>
        <w:tc>
          <w:tcPr>
            <w:tcW w:type="dxa" w:w="2275"/>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kurz</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Restore benötigt</w:t>
            </w:r>
          </w:p>
        </w:tc>
        <w:tc>
          <w:tcPr>
            <w:tcW w:type="dxa" w:w="227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1 Satz</w:t>
            </w:r>
          </w:p>
        </w:tc>
        <w:tc>
          <w:tcPr>
            <w:tcW w:type="dxa" w:w="2275"/>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Voll + letzte Differenzsicherung</w:t>
            </w:r>
          </w:p>
        </w:tc>
        <w:tc>
          <w:tcPr>
            <w:tcW w:type="dxa" w:w="2275"/>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Voll + ALLE Inkremente in Reihenfolge</w:t>
            </w:r>
          </w:p>
        </w:tc>
      </w:tr>
    </w:tbl>
    <w:p>
      <w:pPr>
        <w:spacing w:after="60" w:line="276"/>
      </w:pPr>
      <w:r>
        <w:rPr>
          <w:rFonts w:ascii="Calibri" w:cs="Calibri" w:eastAsia="Calibri" w:hAnsi="Calibri"/>
          <w:b w:val="false"/>
          <w:bCs w:val="false"/>
          <w:i w:val="false"/>
          <w:iCs w:val="false"/>
          <w:color w:val="222222"/>
          <w:sz w:val="22"/>
          <w:szCs w:val="22"/>
        </w:rPr>
        <w:t xml:space="preserve"/>
      </w:r>
    </w:p>
    <w:p>
      <w:pPr>
        <w:spacing w:after="140" w:line="276"/>
      </w:pPr>
      <w:r>
        <w:rPr>
          <w:rFonts w:ascii="Calibri" w:cs="Calibri" w:eastAsia="Calibri" w:hAnsi="Calibri"/>
          <w:b w:val="false"/>
          <w:bCs w:val="false"/>
          <w:i w:val="false"/>
          <w:iCs w:val="false"/>
          <w:color w:val="222222"/>
          <w:sz w:val="22"/>
          <w:szCs w:val="22"/>
        </w:rPr>
        <w:t xml:space="preserve">Der entscheidende Unterschied zeigt sich im Restore. Bei differenzieller Sicherung genügen zwei Sätze: die letzte Vollsicherung plus die JÜNGSTE Differenzsicherung. Bei inkrementeller Sicherung wird die komplette Kette gebraucht: die Vollsicherung plus ALLE Inkremente seither, in der richtigen Reihenfolge – fehlt ein Glied oder ist es defekt, endet die Wiederherstellung an dieser Stelle.</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Klausur-Klassiker: Restore-Kette bestimmen</w:t>
            </w:r>
          </w:p>
          <w:p>
            <w:pPr>
              <w:spacing w:after="60" w:line="276"/>
            </w:pPr>
            <w:r>
              <w:rPr>
                <w:rFonts w:ascii="Calibri" w:cs="Calibri" w:eastAsia="Calibri" w:hAnsi="Calibri"/>
                <w:color w:val="222222"/>
                <w:sz w:val="22"/>
                <w:szCs w:val="22"/>
              </w:rPr>
              <w:t xml:space="preserve">Vollsicherung sonntags, inkrementelle Sicherung Mo–Sa jeweils nachts. Ausfall am Donnerstag um 14 Uhr.</w:t>
            </w:r>
          </w:p>
          <w:p>
            <w:pPr>
              <w:spacing w:after="60" w:line="276"/>
            </w:pPr>
            <w:r>
              <w:rPr>
                <w:rFonts w:ascii="Calibri" w:cs="Calibri" w:eastAsia="Calibri" w:hAnsi="Calibri"/>
                <w:color w:val="222222"/>
                <w:sz w:val="22"/>
                <w:szCs w:val="22"/>
              </w:rPr>
              <w:t xml:space="preserve">Benötigt werden: Vollsicherung (So) + Inkremente von Mo, Di, Mi und Do (jeweils die nächtliche Sicherung) – in dieser Reihenfolge. Die Daten von Donnerstagvormittag sind verloren: Das ist genau der Punkt, an dem die Kennzahl RPO ansetzt (Abschnitt 5).</w:t>
            </w:r>
          </w:p>
        </w:tc>
      </w:tr>
    </w:tbl>
    <w:p>
      <w:pPr>
        <w:pStyle w:val="Heading1"/>
        <w:pBdr>
          <w:bottom w:val="single" w:color="F0A500" w:sz="8"/>
        </w:pBdr>
        <w:spacing w:after="160" w:before="360"/>
      </w:pPr>
      <w:r>
        <w:rPr>
          <w:rFonts w:ascii="Calibri" w:cs="Calibri" w:eastAsia="Calibri" w:hAnsi="Calibri"/>
          <w:b/>
          <w:bCs/>
          <w:color w:val="003366"/>
          <w:sz w:val="30"/>
          <w:szCs w:val="30"/>
        </w:rPr>
        <w:t xml:space="preserve">3. Die 3-2-1-Regel</w:t>
      </w:r>
    </w:p>
    <w:p>
      <w:pPr>
        <w:spacing w:after="140" w:line="276"/>
      </w:pPr>
      <w:r>
        <w:rPr>
          <w:rFonts w:ascii="Calibri" w:cs="Calibri" w:eastAsia="Calibri" w:hAnsi="Calibri"/>
          <w:b w:val="false"/>
          <w:bCs w:val="false"/>
          <w:i w:val="false"/>
          <w:iCs w:val="false"/>
          <w:color w:val="222222"/>
          <w:sz w:val="22"/>
          <w:szCs w:val="22"/>
        </w:rPr>
        <w:t xml:space="preserve">Die 3-2-1-Regel ist der Mindeststandard für Backupkonzepte: DREI Kopien der Daten (das Original plus zwei Sicherungen), auf ZWEI verschiedenen Medientypen (z. B. NAS und Band, oder Disk und Cloud), davon EINE Kopie extern – an einem anderen Standort oder offline. Die externe bzw. Offline-Kopie (Air Gap) ist der wirksamste Schutz gegen Ransomware: Was nicht mit dem Netz verbunden ist, kann nicht verschlüsselt werden.</w:t>
      </w:r>
    </w:p>
    <w:p>
      <w:pPr>
        <w:spacing w:after="140" w:line="276"/>
      </w:pPr>
      <w:r>
        <w:rPr>
          <w:rFonts w:ascii="Calibri" w:cs="Calibri" w:eastAsia="Calibri" w:hAnsi="Calibri"/>
          <w:b w:val="false"/>
          <w:bCs w:val="false"/>
          <w:i w:val="false"/>
          <w:iCs w:val="false"/>
          <w:color w:val="222222"/>
          <w:sz w:val="22"/>
          <w:szCs w:val="22"/>
        </w:rPr>
        <w:t xml:space="preserve">In der Praxis wird die Regel oft zu 3-2-1-1-0 erweitert: zusätzlich EINE Kopie offline/unveränderbar (immutable) und NULL Fehler beim regelmäßigen Restore-Test.</w:t>
      </w:r>
    </w:p>
    <w:p>
      <w:pPr>
        <w:pStyle w:val="Heading1"/>
        <w:pBdr>
          <w:bottom w:val="single" w:color="F0A500" w:sz="8"/>
        </w:pBdr>
        <w:spacing w:after="160" w:before="360"/>
      </w:pPr>
      <w:r>
        <w:rPr>
          <w:rFonts w:ascii="Calibri" w:cs="Calibri" w:eastAsia="Calibri" w:hAnsi="Calibri"/>
          <w:b/>
          <w:bCs/>
          <w:color w:val="003366"/>
          <w:sz w:val="30"/>
          <w:szCs w:val="30"/>
        </w:rPr>
        <w:t xml:space="preserve">4. Rotationsverfahren: GVS und Türme von Hanoi</w:t>
      </w:r>
    </w:p>
    <w:p>
      <w:pPr>
        <w:spacing w:after="140" w:line="276"/>
      </w:pPr>
      <w:r>
        <w:rPr>
          <w:rFonts w:ascii="Calibri" w:cs="Calibri" w:eastAsia="Calibri" w:hAnsi="Calibri"/>
          <w:b w:val="false"/>
          <w:bCs w:val="false"/>
          <w:i w:val="false"/>
          <w:iCs w:val="false"/>
          <w:color w:val="222222"/>
          <w:sz w:val="22"/>
          <w:szCs w:val="22"/>
        </w:rPr>
        <w:t xml:space="preserve">Rotationsverfahren legen fest, wann welches Sicherungsmedium wiederverwendet wird. Ziel ist eine möglichst lange und sinnvoll gestaffelte Historie mit begrenzter Medienzahl.</w:t>
      </w:r>
    </w:p>
    <w:p>
      <w:pPr>
        <w:spacing w:after="140" w:line="276"/>
      </w:pPr>
      <w:r>
        <w:rPr>
          <w:rFonts w:ascii="Calibri" w:cs="Calibri" w:eastAsia="Calibri" w:hAnsi="Calibri"/>
          <w:b/>
          <w:bCs/>
          <w:color w:val="222222"/>
          <w:sz w:val="22"/>
          <w:szCs w:val="22"/>
        </w:rPr>
        <w:t xml:space="preserve">Großvater-Vater-Sohn (GVS): </w:t>
      </w:r>
      <w:r>
        <w:rPr>
          <w:rFonts w:ascii="Calibri" w:cs="Calibri" w:eastAsia="Calibri" w:hAnsi="Calibri"/>
          <w:color w:val="222222"/>
          <w:sz w:val="22"/>
          <w:szCs w:val="22"/>
        </w:rPr>
        <w:t xml:space="preserve">Die SÖHNE sind die täglichen Sicherungen (klassisch Montag bis Donnerstag, vier Medien, wöchentlich überschrieben). Die VÄTER sind die wöchentlichen Sicherungen (freitags, vier Medien, monatlich rotiert). Die GROSSVÄTER sind die Monatssicherungen (klassisch der letzte Freitag im Monat, zwölf Medien für ein Jahresarchiv). Klassischer Medienbedarf: 4 + 4 + 12 = 20 Medien. Der Gewinn: Auch Wochen oder Monate alte Stände bleiben verfügbar – wichtig, wenn ein Fehler oder eine Ransomware-Infektion erst spät entdeckt wird.</w:t>
      </w:r>
    </w:p>
    <w:p>
      <w:pPr>
        <w:spacing w:after="140" w:line="276"/>
      </w:pPr>
      <w:r>
        <w:rPr>
          <w:rFonts w:ascii="Calibri" w:cs="Calibri" w:eastAsia="Calibri" w:hAnsi="Calibri"/>
          <w:b/>
          <w:bCs/>
          <w:color w:val="222222"/>
          <w:sz w:val="22"/>
          <w:szCs w:val="22"/>
        </w:rPr>
        <w:t xml:space="preserve">Türme von Hanoi: </w:t>
      </w:r>
      <w:r>
        <w:rPr>
          <w:rFonts w:ascii="Calibri" w:cs="Calibri" w:eastAsia="Calibri" w:hAnsi="Calibri"/>
          <w:color w:val="222222"/>
          <w:sz w:val="22"/>
          <w:szCs w:val="22"/>
        </w:rPr>
        <w:t xml:space="preserve">Die Medien werden nach Zweierpotenzen eingesetzt – Medium A jeden zweiten Tag, B jeden vierten, C jeden achten und so weiter. Mit nur fünf Medien entstehen Wiederherstellungspunkte, die bis zu 16 Tage zurückreichen, bei dichter jüngerer Historie. Nachteile: Der Plan ist komplex und Medium A verschleißt am schnellsten. Heute steuert meist Software die Rotation – das Prinzip bleibt aber prüfungsrelevant.</w:t>
      </w:r>
    </w:p>
    <w:p>
      <w:pPr>
        <w:pStyle w:val="Heading1"/>
        <w:pBdr>
          <w:bottom w:val="single" w:color="F0A500" w:sz="8"/>
        </w:pBdr>
        <w:spacing w:after="160" w:before="360"/>
      </w:pPr>
      <w:r>
        <w:rPr>
          <w:rFonts w:ascii="Calibri" w:cs="Calibri" w:eastAsia="Calibri" w:hAnsi="Calibri"/>
          <w:b/>
          <w:bCs/>
          <w:color w:val="003366"/>
          <w:sz w:val="30"/>
          <w:szCs w:val="30"/>
        </w:rPr>
        <w:t xml:space="preserve">5. RPO und RTO</w:t>
      </w:r>
    </w:p>
    <w:p>
      <w:pPr>
        <w:spacing w:after="140" w:line="276"/>
      </w:pPr>
      <w:r>
        <w:rPr>
          <w:rFonts w:ascii="Calibri" w:cs="Calibri" w:eastAsia="Calibri" w:hAnsi="Calibri"/>
          <w:b w:val="false"/>
          <w:bCs w:val="false"/>
          <w:i w:val="false"/>
          <w:iCs w:val="false"/>
          <w:color w:val="222222"/>
          <w:sz w:val="22"/>
          <w:szCs w:val="22"/>
        </w:rPr>
        <w:t xml:space="preserve">Zwei Kennzahlen übersetzen Geschäftsanforderungen in Technik. Das RPO (Recovery Point Objective) ist der maximal tolerierte DATENVERLUST, gemessen als Zeitraum zwischen letzter Sicherung und Ausfall. Das RPO bestimmt die Sicherungsfrequenz: Wer nur eine Stunde Datenverlust akzeptiert, braucht mindestens stündliche Sicherungen oder Snapshots – die nächtliche Sicherung (RPO bis zu 24 h) reicht dann nicht.</w:t>
      </w:r>
    </w:p>
    <w:p>
      <w:pPr>
        <w:spacing w:after="140" w:line="276"/>
      </w:pPr>
      <w:r>
        <w:rPr>
          <w:rFonts w:ascii="Calibri" w:cs="Calibri" w:eastAsia="Calibri" w:hAnsi="Calibri"/>
          <w:b w:val="false"/>
          <w:bCs w:val="false"/>
          <w:i w:val="false"/>
          <w:iCs w:val="false"/>
          <w:color w:val="222222"/>
          <w:sz w:val="22"/>
          <w:szCs w:val="22"/>
        </w:rPr>
        <w:t xml:space="preserve">Das RTO (Recovery Time Objective) ist die maximal tolerierte AUSFALLZEIT bis zur Wiederherstellung des Betriebs. Das RTO bestimmt die Restore-Strategie: schnelle Storage, geübte Abläufe, gegebenenfalls Standby-Systeme oder Replikation. Wichtig für Konzept und Klausur: Ein RTO ist erst dann belegt, wenn die Restore-Dauer tatsächlich GEMESSEN wurde – genau das tun wir in der Restore-Übung am Donnerstag und erneut in Hälfte 2 am Proxmox Backup Server.</w:t>
      </w:r>
    </w:p>
    <w:p>
      <w:pPr>
        <w:pStyle w:val="Heading1"/>
        <w:pBdr>
          <w:bottom w:val="single" w:color="F0A500" w:sz="8"/>
        </w:pBdr>
        <w:spacing w:after="160" w:before="360"/>
      </w:pPr>
      <w:r>
        <w:rPr>
          <w:rFonts w:ascii="Calibri" w:cs="Calibri" w:eastAsia="Calibri" w:hAnsi="Calibri"/>
          <w:b/>
          <w:bCs/>
          <w:color w:val="003366"/>
          <w:sz w:val="30"/>
          <w:szCs w:val="30"/>
        </w:rPr>
        <w:t xml:space="preserve">6. Backupfenster berechnen</w:t>
      </w:r>
    </w:p>
    <w:p>
      <w:pPr>
        <w:spacing w:after="140" w:line="276"/>
      </w:pPr>
      <w:r>
        <w:rPr>
          <w:rFonts w:ascii="Calibri" w:cs="Calibri" w:eastAsia="Calibri" w:hAnsi="Calibri"/>
          <w:b w:val="false"/>
          <w:bCs w:val="false"/>
          <w:i w:val="false"/>
          <w:iCs w:val="false"/>
          <w:color w:val="222222"/>
          <w:sz w:val="22"/>
          <w:szCs w:val="22"/>
        </w:rPr>
        <w:t xml:space="preserve">Das Backupfenster ist der Zeitraum, in dem eine Sicherung laufen darf, ohne den Betrieb zu stören – typischerweise nachts. Ob eine Sicherung hineinpasst, ist reine Rechenarbeit:</w:t>
      </w:r>
    </w:p>
    <w:p>
      <w:pPr>
        <w:spacing w:after="160" w:before="100"/>
        <w:jc w:val="center"/>
      </w:pPr>
      <w:r>
        <w:rPr>
          <w:rFonts w:ascii="Cambria" w:cs="Cambria" w:eastAsia="Cambria" w:hAnsi="Cambria"/>
          <w:b/>
          <w:bCs/>
          <w:color w:val="003366"/>
          <w:sz w:val="24"/>
          <w:szCs w:val="24"/>
        </w:rPr>
        <w:t xml:space="preserve">Dauer t = Datenmenge / effektive Übertragungsrate</w:t>
      </w:r>
    </w:p>
    <w:p>
      <w:pPr>
        <w:spacing w:after="140" w:line="276"/>
      </w:pPr>
      <w:r>
        <w:rPr>
          <w:rFonts w:ascii="Calibri" w:cs="Calibri" w:eastAsia="Calibri" w:hAnsi="Calibri"/>
          <w:color w:val="222222"/>
          <w:sz w:val="22"/>
          <w:szCs w:val="22"/>
        </w:rPr>
        <w:t xml:space="preserve">Die klassische Einheiten-Falle: Leitungen werden in Bit pro Sekunde angegeben, Datenmengen in Byte – Faktor 8! Eine 1-Gbit/s-Leitung schafft theoretisch 125 MByte/s. Real sind wegen Protokoll-Overhead und paralleler Last nur 60–80 % nutzbar. Beispiel: 1,8 TB über 1 Gbit/s bei 80 % Nutzung: 125 × 0,8 = 100 MB/s; 1.800.000 MB / 100 MB/s = 18.000 s = </w:t>
      </w:r>
      <w:r>
        <w:rPr>
          <w:rFonts w:ascii="Calibri" w:cs="Calibri" w:eastAsia="Calibri" w:hAnsi="Calibri"/>
          <w:b/>
          <w:bCs/>
          <w:color w:val="222222"/>
          <w:sz w:val="22"/>
          <w:szCs w:val="22"/>
        </w:rPr>
        <w:t xml:space="preserve">5 Stunden</w:t>
      </w:r>
      <w:r>
        <w:rPr>
          <w:rFonts w:ascii="Calibri" w:cs="Calibri" w:eastAsia="Calibri" w:hAnsi="Calibri"/>
          <w:color w:val="222222"/>
          <w:sz w:val="22"/>
          <w:szCs w:val="22"/>
        </w:rPr>
        <w:t xml:space="preserve">. Passt die Sicherung nicht ins Fenster, helfen: inkrementelle statt volle Sicherung, mehr Bandbreite, Deduplizierung und Kompression oder Snapshot-basierte Verfahren.</w:t>
      </w:r>
    </w:p>
    <w:p>
      <w:pPr>
        <w:pStyle w:val="Heading1"/>
        <w:pBdr>
          <w:bottom w:val="single" w:color="F0A500" w:sz="8"/>
        </w:pBdr>
        <w:spacing w:after="160" w:before="360"/>
      </w:pPr>
      <w:r>
        <w:rPr>
          <w:rFonts w:ascii="Calibri" w:cs="Calibri" w:eastAsia="Calibri" w:hAnsi="Calibri"/>
          <w:b/>
          <w:bCs/>
          <w:color w:val="003366"/>
          <w:sz w:val="30"/>
          <w:szCs w:val="30"/>
        </w:rPr>
        <w:t xml:space="preserve">7. Aufbewahrung, Recht und Medien</w:t>
      </w:r>
    </w:p>
    <w:p>
      <w:pPr>
        <w:spacing w:after="140" w:line="276"/>
      </w:pPr>
      <w:r>
        <w:rPr>
          <w:rFonts w:ascii="Calibri" w:cs="Calibri" w:eastAsia="Calibri" w:hAnsi="Calibri"/>
          <w:b w:val="false"/>
          <w:bCs w:val="false"/>
          <w:i w:val="false"/>
          <w:iCs w:val="false"/>
          <w:color w:val="222222"/>
          <w:sz w:val="22"/>
          <w:szCs w:val="22"/>
        </w:rPr>
        <w:t xml:space="preserve">Backup- und Archivkonzepte müssen gesetzliche Aufbewahrungsfristen berücksichtigen. Nach HGB und AO (konkretisiert durch die GoBD) gilt: Handelsbücher, Inventare, Jahresabschlüsse und Buchungsbelege sind 10 Jahre aufzubewahren, empfangene und abgesandte Handels- und Geschäftsbriefe 6 Jahre. Zugleich verlangt die DSGVO, personenbezogene Daten zu löschen, wenn der Zweck entfällt – das gilt grundsätzlich auch für Backups. Praktisch löst man das Spannungsfeld über ein Löschkonzept und begrenzte Aufbewahrungszeiten (Retention) der Sicherungen.</w:t>
      </w:r>
    </w:p>
    <w:p>
      <w:pPr>
        <w:spacing w:after="140" w:line="276"/>
      </w:pPr>
      <w:r>
        <w:rPr>
          <w:rFonts w:ascii="Calibri" w:cs="Calibri" w:eastAsia="Calibri" w:hAnsi="Calibri"/>
          <w:b w:val="false"/>
          <w:bCs w:val="false"/>
          <w:i w:val="false"/>
          <w:iCs w:val="false"/>
          <w:color w:val="222222"/>
          <w:sz w:val="22"/>
          <w:szCs w:val="22"/>
        </w:rPr>
        <w:t xml:space="preserve">Bei der Medienwahl gilt: Disk/NAS ist schnell und für die erste Sicherungsstufe Standard; Band (LTO) ist pro Terabyte günstig, langlebig und als Offline-Medium ideal für Air Gap und Archiv; Cloud liefert den externen Standort, braucht aber ausreichende Bandbreite (siehe Abschnitt 6) und Verschlüsselung. Spätestens wenn Sicherungen das Haus verlassen, ist Verschlüsselung Pflicht.</w:t>
      </w:r>
    </w:p>
    <w:p>
      <w:pPr>
        <w:pStyle w:val="Heading1"/>
        <w:pBdr>
          <w:bottom w:val="single" w:color="F0A500" w:sz="8"/>
        </w:pBdr>
        <w:spacing w:after="160" w:before="360"/>
      </w:pPr>
      <w:r>
        <w:rPr>
          <w:rFonts w:ascii="Calibri" w:cs="Calibri" w:eastAsia="Calibri" w:hAnsi="Calibri"/>
          <w:b/>
          <w:bCs/>
          <w:color w:val="003366"/>
          <w:sz w:val="30"/>
          <w:szCs w:val="30"/>
        </w:rPr>
        <w:t xml:space="preserve">8. Restore-Tests</w:t>
      </w:r>
    </w:p>
    <w:p>
      <w:pPr>
        <w:spacing w:after="140" w:line="276"/>
      </w:pPr>
      <w:r>
        <w:rPr>
          <w:rFonts w:ascii="Calibri" w:cs="Calibri" w:eastAsia="Calibri" w:hAnsi="Calibri"/>
          <w:b w:val="false"/>
          <w:bCs w:val="false"/>
          <w:i w:val="false"/>
          <w:iCs w:val="false"/>
          <w:color w:val="222222"/>
          <w:sz w:val="22"/>
          <w:szCs w:val="22"/>
        </w:rPr>
        <w:t xml:space="preserve">Der Merksatz der Woche: Ein Backup, dessen Restore nie getestet wurde, existiert nicht. Regelmäßige Test-Restores – idealerweise vollständig auf eine getrennte Umgebung, mindestens stichprobenartig – decken die typischen Fehlerbilder auf: unlesbare Medien, lückenhafte Inkrement-Ketten, vergessene Systemzustände, fehlende Passwörter oder Verschlüsselungsschlüssel. Die gemessene Restore-Dauer ist zugleich der einzige belastbare Nachweis für das zugesagte RTO. Die Restore-Anleitung gehört dokumentiert ins Notfallhandbuch – so, dass auch eine Vertretung sie ausführen kann.</w:t>
      </w:r>
    </w:p>
    <w:p>
      <w:pPr>
        <w:pStyle w:val="Heading1"/>
        <w:pBdr>
          <w:bottom w:val="single" w:color="F0A500" w:sz="8"/>
        </w:pBdr>
        <w:spacing w:after="160" w:before="360"/>
      </w:pPr>
      <w:r>
        <w:rPr>
          <w:rFonts w:ascii="Calibri" w:cs="Calibri" w:eastAsia="Calibri" w:hAnsi="Calibri"/>
          <w:b/>
          <w:bCs/>
          <w:color w:val="003366"/>
          <w:sz w:val="30"/>
          <w:szCs w:val="30"/>
        </w:rPr>
        <w:t xml:space="preserve">9. Abkürzungsverzeichnis</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rPr>
          <w:tblHeader/>
        </w:trPr>
        <w:tc>
          <w:tcPr>
            <w:tcW w:type="dxa" w:w="22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Abkürzung</w:t>
            </w:r>
          </w:p>
        </w:tc>
        <w:tc>
          <w:tcPr>
            <w:tcW w:type="dxa" w:w="682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Bedeutung</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AO</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Abgabenordnung – steuerrechtliche Aufbewahrungspflichten</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DSGVO</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Datenschutz-Grundverordnung</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GoBD</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Grundsätze zur ordnungsmäßigen Führung und Aufbewahrung von Büchern, Aufzeichnungen und Unterlagen in elektronischer Form sowie zum Datenzugriff</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GVS</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Großvater-Vater-Sohn – Rotationsverfahren für Sicherungsmedien</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HGB</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Handelsgesetzbuch</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LTO</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Linear Tape-Open – Standard für Magnetbandlaufwerke</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NAS</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Network Attached Storage – Netzwerkspeicher</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PBS</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Proxmox Backup Server</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RPO</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Recovery Point Objective – maximal tolerierter Datenverlust (Zeitraum)</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RTO</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Recovery Time Objective – maximal tolerierte Ausfall-/Wiederherstellungszeit</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E2 Backup &amp; Restore · Handout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2026-07-03T03:59:58.364Z</dcterms:created>
  <dcterms:modified xsi:type="dcterms:W3CDTF">2026-07-03T03:59:58.364Z</dcterms:modified>
</cp:coreProperties>
</file>

<file path=docProps/custom.xml><?xml version="1.0" encoding="utf-8"?>
<Properties xmlns="http://schemas.openxmlformats.org/officeDocument/2006/custom-properties" xmlns:vt="http://schemas.openxmlformats.org/officeDocument/2006/docPropsVTypes"/>
</file>