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Bewertungsbogen Capstone</w:t>
      </w:r>
    </w:p>
    <w:p>
      <w:pPr>
        <w:spacing w:after="40"/>
      </w:pPr>
      <w:r>
        <w:rPr>
          <w:rFonts w:ascii="Calibri" w:cs="Calibri" w:eastAsia="Calibri" w:hAnsi="Calibri"/>
          <w:color w:val="0066AA"/>
          <w:sz w:val="25"/>
          <w:szCs w:val="25"/>
        </w:rPr>
        <w:t xml:space="preserve">Betriebshandbuch, Präsentation und Demonstration · Modul L (Lernfeld 11)</w:t>
      </w:r>
    </w:p>
    <w:p>
      <w:pPr>
        <w:pBdr>
          <w:bottom w:val="single" w:color="F0A500" w:sz="12"/>
        </w:pBdr>
        <w:spacing w:after="20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FISI · bfw Lübeck · Juli 2026 · 100 Punkte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4513"/>
        <w:gridCol w:w="4513"/>
      </w:tblGrid>
      <w:tr>
        <w:tc>
          <w:tcPr>
            <w:tcW w:type="dxa" w:w="451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Gruppe: </w:t>
            </w:r>
          </w:p>
        </w:tc>
        <w:tc>
          <w:tcPr>
            <w:tcW w:type="dxa" w:w="451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Datum: </w:t>
            </w:r>
          </w:p>
        </w:tc>
      </w:tr>
      <w:tr>
        <w:tc>
          <w:tcPr>
            <w:tcW w:type="dxa" w:w="451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Mitglieder: </w:t>
            </w:r>
          </w:p>
        </w:tc>
        <w:tc>
          <w:tcPr>
            <w:tcW w:type="dxa" w:w="451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Gesamt:        / 100</w:t>
            </w:r>
          </w:p>
        </w:tc>
      </w:tr>
    </w:tbl>
    <w:p>
      <w:pPr>
        <w:spacing w:after="160"/>
      </w:pP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 – Fachliche Vollständigkeit und Richtigkeit (45 Punkte)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700"/>
        <w:gridCol w:w="5326"/>
        <w:gridCol w:w="1200"/>
        <w:gridCol w:w="1800"/>
      </w:tblGrid>
      <w:tr>
        <w:trPr>
          <w:tblHeader/>
        </w:trPr>
        <w:tc>
          <w:tcPr>
            <w:tcW w:type="dxa" w:w="700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Nr.</w:t>
            </w:r>
          </w:p>
        </w:tc>
        <w:tc>
          <w:tcPr>
            <w:tcW w:type="dxa" w:w="5326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Kriterium</w:t>
            </w:r>
          </w:p>
        </w:tc>
        <w:tc>
          <w:tcPr>
            <w:tcW w:type="dxa" w:w="1200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max. P.</w:t>
            </w:r>
          </w:p>
        </w:tc>
        <w:tc>
          <w:tcPr>
            <w:tcW w:type="dxa" w:w="1800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erreicht / Notiz</w:t>
            </w:r>
          </w:p>
        </w:tc>
      </w:tr>
      <w:tr>
        <w:tc>
          <w:tcPr>
            <w:tcW w:type="dxa" w:w="7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1</w:t>
            </w:r>
          </w:p>
        </w:tc>
        <w:tc>
          <w:tcPr>
            <w:tcW w:type="dxa" w:w="5326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Hardware-, Storage- und Netzplan vollständig und korrekt (Kap. 3–4)</w:t>
            </w:r>
          </w:p>
        </w:tc>
        <w:tc>
          <w:tcPr>
            <w:tcW w:type="dxa" w:w="12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10</w:t>
            </w:r>
          </w:p>
        </w:tc>
        <w:tc>
          <w:tcPr>
            <w:tcW w:type="dxa" w:w="18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7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2</w:t>
            </w:r>
          </w:p>
        </w:tc>
        <w:tc>
          <w:tcPr>
            <w:tcW w:type="dxa" w:w="5326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Cluster/Verfügbarkeit sachlich richtig dargestellt, Grenzen der Lab-Umgebung benannt (Kap. 5)</w:t>
            </w:r>
          </w:p>
        </w:tc>
        <w:tc>
          <w:tcPr>
            <w:tcW w:type="dxa" w:w="12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8</w:t>
            </w:r>
          </w:p>
        </w:tc>
        <w:tc>
          <w:tcPr>
            <w:tcW w:type="dxa" w:w="18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7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3</w:t>
            </w:r>
          </w:p>
        </w:tc>
        <w:tc>
          <w:tcPr>
            <w:tcW w:type="dxa" w:w="5326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Backupkonzept schlüssig: Sicherungsarten, Plan, Aufbewahrung, 3-2-1 (Kap. 6)</w:t>
            </w:r>
          </w:p>
        </w:tc>
        <w:tc>
          <w:tcPr>
            <w:tcW w:type="dxa" w:w="12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10</w:t>
            </w:r>
          </w:p>
        </w:tc>
        <w:tc>
          <w:tcPr>
            <w:tcW w:type="dxa" w:w="18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7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4</w:t>
            </w:r>
          </w:p>
        </w:tc>
        <w:tc>
          <w:tcPr>
            <w:tcW w:type="dxa" w:w="5326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Monitoring und Härtung nachvollziehbar dokumentiert (Kap. 8–9)</w:t>
            </w:r>
          </w:p>
        </w:tc>
        <w:tc>
          <w:tcPr>
            <w:tcW w:type="dxa" w:w="12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10</w:t>
            </w:r>
          </w:p>
        </w:tc>
        <w:tc>
          <w:tcPr>
            <w:tcW w:type="dxa" w:w="18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7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5</w:t>
            </w:r>
          </w:p>
        </w:tc>
        <w:tc>
          <w:tcPr>
            <w:tcW w:type="dxa" w:w="5326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SIEM und Schutzbedarf korrekt eingeordnet (Kap. 10–11)</w:t>
            </w:r>
          </w:p>
        </w:tc>
        <w:tc>
          <w:tcPr>
            <w:tcW w:type="dxa" w:w="12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7</w:t>
            </w:r>
          </w:p>
        </w:tc>
        <w:tc>
          <w:tcPr>
            <w:tcW w:type="dxa" w:w="18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 </w:t>
            </w:r>
          </w:p>
        </w:tc>
      </w:tr>
    </w:tbl>
    <w:p>
      <w:pPr>
        <w:spacing w:after="140"/>
      </w:pP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B – Begründungen und Messwerte (25 Punkte)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700"/>
        <w:gridCol w:w="5326"/>
        <w:gridCol w:w="1200"/>
        <w:gridCol w:w="1800"/>
      </w:tblGrid>
      <w:tr>
        <w:trPr>
          <w:tblHeader/>
        </w:trPr>
        <w:tc>
          <w:tcPr>
            <w:tcW w:type="dxa" w:w="700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Nr.</w:t>
            </w:r>
          </w:p>
        </w:tc>
        <w:tc>
          <w:tcPr>
            <w:tcW w:type="dxa" w:w="5326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Kriterium</w:t>
            </w:r>
          </w:p>
        </w:tc>
        <w:tc>
          <w:tcPr>
            <w:tcW w:type="dxa" w:w="1200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max. P.</w:t>
            </w:r>
          </w:p>
        </w:tc>
        <w:tc>
          <w:tcPr>
            <w:tcW w:type="dxa" w:w="1800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erreicht / Notiz</w:t>
            </w:r>
          </w:p>
        </w:tc>
      </w:tr>
      <w:tr>
        <w:tc>
          <w:tcPr>
            <w:tcW w:type="dxa" w:w="7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6</w:t>
            </w:r>
          </w:p>
        </w:tc>
        <w:tc>
          <w:tcPr>
            <w:tcW w:type="dxa" w:w="5326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Entscheidungen sind begründet, nicht nur benannt (durchgängig)</w:t>
            </w:r>
          </w:p>
        </w:tc>
        <w:tc>
          <w:tcPr>
            <w:tcW w:type="dxa" w:w="12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12</w:t>
            </w:r>
          </w:p>
        </w:tc>
        <w:tc>
          <w:tcPr>
            <w:tcW w:type="dxa" w:w="18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7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7</w:t>
            </w:r>
          </w:p>
        </w:tc>
        <w:tc>
          <w:tcPr>
            <w:tcW w:type="dxa" w:w="5326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Restore-Zeiten sind GEMESSEN und gegen RPO/RTO bewertet (Kap. 7)</w:t>
            </w:r>
          </w:p>
        </w:tc>
        <w:tc>
          <w:tcPr>
            <w:tcW w:type="dxa" w:w="12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13</w:t>
            </w:r>
          </w:p>
        </w:tc>
        <w:tc>
          <w:tcPr>
            <w:tcW w:type="dxa" w:w="18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 </w:t>
            </w:r>
          </w:p>
        </w:tc>
      </w:tr>
    </w:tbl>
    <w:p>
      <w:pPr>
        <w:spacing w:after="140"/>
      </w:pP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C – Notfallkapitel (15 Punkte)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700"/>
        <w:gridCol w:w="5326"/>
        <w:gridCol w:w="1200"/>
        <w:gridCol w:w="1800"/>
      </w:tblGrid>
      <w:tr>
        <w:trPr>
          <w:tblHeader/>
        </w:trPr>
        <w:tc>
          <w:tcPr>
            <w:tcW w:type="dxa" w:w="700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Nr.</w:t>
            </w:r>
          </w:p>
        </w:tc>
        <w:tc>
          <w:tcPr>
            <w:tcW w:type="dxa" w:w="5326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Kriterium</w:t>
            </w:r>
          </w:p>
        </w:tc>
        <w:tc>
          <w:tcPr>
            <w:tcW w:type="dxa" w:w="1200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max. P.</w:t>
            </w:r>
          </w:p>
        </w:tc>
        <w:tc>
          <w:tcPr>
            <w:tcW w:type="dxa" w:w="1800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erreicht / Notiz</w:t>
            </w:r>
          </w:p>
        </w:tc>
      </w:tr>
      <w:tr>
        <w:tc>
          <w:tcPr>
            <w:tcW w:type="dxa" w:w="7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8</w:t>
            </w:r>
          </w:p>
        </w:tc>
        <w:tc>
          <w:tcPr>
            <w:tcW w:type="dxa" w:w="5326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Rollen, Meldewege und Erreichbarkeiten konkret benannt</w:t>
            </w:r>
          </w:p>
        </w:tc>
        <w:tc>
          <w:tcPr>
            <w:tcW w:type="dxa" w:w="12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5</w:t>
            </w:r>
          </w:p>
        </w:tc>
        <w:tc>
          <w:tcPr>
            <w:tcW w:type="dxa" w:w="18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7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9</w:t>
            </w:r>
          </w:p>
        </w:tc>
        <w:tc>
          <w:tcPr>
            <w:tcW w:type="dxa" w:w="5326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IR-Phasen auf die eigene Umgebung angewendet, nicht allgemein beschrieben</w:t>
            </w:r>
          </w:p>
        </w:tc>
        <w:tc>
          <w:tcPr>
            <w:tcW w:type="dxa" w:w="12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5</w:t>
            </w:r>
          </w:p>
        </w:tc>
        <w:tc>
          <w:tcPr>
            <w:tcW w:type="dxa" w:w="18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7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10</w:t>
            </w:r>
          </w:p>
        </w:tc>
        <w:tc>
          <w:tcPr>
            <w:tcW w:type="dxa" w:w="5326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Meldepflicht mit Frist korrekt dargestellt</w:t>
            </w:r>
          </w:p>
        </w:tc>
        <w:tc>
          <w:tcPr>
            <w:tcW w:type="dxa" w:w="12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5</w:t>
            </w:r>
          </w:p>
        </w:tc>
        <w:tc>
          <w:tcPr>
            <w:tcW w:type="dxa" w:w="18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 </w:t>
            </w:r>
          </w:p>
        </w:tc>
      </w:tr>
    </w:tbl>
    <w:p>
      <w:pPr>
        <w:spacing w:after="140"/>
      </w:pP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D – Präsentation, Demonstration und Form (15 Punkte)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700"/>
        <w:gridCol w:w="5326"/>
        <w:gridCol w:w="1200"/>
        <w:gridCol w:w="1800"/>
      </w:tblGrid>
      <w:tr>
        <w:trPr>
          <w:tblHeader/>
        </w:trPr>
        <w:tc>
          <w:tcPr>
            <w:tcW w:type="dxa" w:w="700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Nr.</w:t>
            </w:r>
          </w:p>
        </w:tc>
        <w:tc>
          <w:tcPr>
            <w:tcW w:type="dxa" w:w="5326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Kriterium</w:t>
            </w:r>
          </w:p>
        </w:tc>
        <w:tc>
          <w:tcPr>
            <w:tcW w:type="dxa" w:w="1200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max. P.</w:t>
            </w:r>
          </w:p>
        </w:tc>
        <w:tc>
          <w:tcPr>
            <w:tcW w:type="dxa" w:w="1800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erreicht / Notiz</w:t>
            </w:r>
          </w:p>
        </w:tc>
      </w:tr>
      <w:tr>
        <w:tc>
          <w:tcPr>
            <w:tcW w:type="dxa" w:w="7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11</w:t>
            </w:r>
          </w:p>
        </w:tc>
        <w:tc>
          <w:tcPr>
            <w:tcW w:type="dxa" w:w="5326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Folien nach Richtlinie Herbst 2024, Handout vorhanden</w:t>
            </w:r>
          </w:p>
        </w:tc>
        <w:tc>
          <w:tcPr>
            <w:tcW w:type="dxa" w:w="12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4</w:t>
            </w:r>
          </w:p>
        </w:tc>
        <w:tc>
          <w:tcPr>
            <w:tcW w:type="dxa" w:w="18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7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12</w:t>
            </w:r>
          </w:p>
        </w:tc>
        <w:tc>
          <w:tcPr>
            <w:tcW w:type="dxa" w:w="5326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Vortrag strukturiert, Zeit eingehalten, alle beteiligt</w:t>
            </w:r>
          </w:p>
        </w:tc>
        <w:tc>
          <w:tcPr>
            <w:tcW w:type="dxa" w:w="12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4</w:t>
            </w:r>
          </w:p>
        </w:tc>
        <w:tc>
          <w:tcPr>
            <w:tcW w:type="dxa" w:w="18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7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13</w:t>
            </w:r>
          </w:p>
        </w:tc>
        <w:tc>
          <w:tcPr>
            <w:tcW w:type="dxa" w:w="5326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Live-Demonstration funktioniert und passt zum Handbuch</w:t>
            </w:r>
          </w:p>
        </w:tc>
        <w:tc>
          <w:tcPr>
            <w:tcW w:type="dxa" w:w="12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4</w:t>
            </w:r>
          </w:p>
        </w:tc>
        <w:tc>
          <w:tcPr>
            <w:tcW w:type="dxa" w:w="18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7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14</w:t>
            </w:r>
          </w:p>
        </w:tc>
        <w:tc>
          <w:tcPr>
            <w:tcW w:type="dxa" w:w="5326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Formale Qualität: Gliederung, Seitenzahlen, Abkürzungen, keine Passwörter</w:t>
            </w:r>
          </w:p>
        </w:tc>
        <w:tc>
          <w:tcPr>
            <w:tcW w:type="dxa" w:w="12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3</w:t>
            </w:r>
          </w:p>
        </w:tc>
        <w:tc>
          <w:tcPr>
            <w:tcW w:type="dxa" w:w="1800"/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Dozenten-Hinweis: Gewichtung bewusst gesetzt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Block B (25 P.) belohnt genau das, was ein Betriebshandbuch von einer Sammlung Screenshots unterscheidet: begründete Entscheidungen und echte Messwerte. Eine Gruppe mit einer kleineren, aber sauber begründeten und gemessenen Umgebung soll besser abschneiden als eine mit vielen undokumentierten Funktionen.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Umrechnung in eine Note nach Hausschlüssel (100–92 = 1, 91–81 = 2, 80–67 = 3, 66–50 = 4, 49–30 = 5, 29–0 = 6).</w:t>
            </w:r>
          </w:p>
        </w:tc>
      </w:tr>
    </w:tbl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95959"/>
        <w:sz w:val="18"/>
        <w:szCs w:val="18"/>
      </w:rPr>
      <w:t xml:space="preserve">bfw Lübeck · Modul L · Bewertungsbogen Capstone · Seite </w:t>
    </w:r>
    <w:r>
      <w:rPr>
        <w:rFonts w:ascii="Calibri" w:cs="Calibri" w:eastAsia="Calibri" w:hAnsi="Calibri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2026-07-22T06:51:09.134Z</dcterms:created>
  <dcterms:modified xsi:type="dcterms:W3CDTF">2026-07-22T06:51:09.134Z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