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Calibri" w:cs="Calibri" w:eastAsia="Calibri" w:hAnsi="Calibri"/>
          <w:b/>
          <w:bCs/>
          <w:color w:val="003366"/>
          <w:sz w:val="34"/>
          <w:szCs w:val="34"/>
        </w:rPr>
        <w:t xml:space="preserve">Capstone: Das Betriebshandbuch</w:t>
      </w:r>
    </w:p>
    <w:p>
      <w:pPr>
        <w:spacing w:after="40"/>
      </w:pPr>
      <w:r>
        <w:rPr>
          <w:rFonts w:ascii="Calibri" w:cs="Calibri" w:eastAsia="Calibri" w:hAnsi="Calibri"/>
          <w:color w:val="0066AA"/>
          <w:sz w:val="25"/>
          <w:szCs w:val="25"/>
        </w:rPr>
        <w:t xml:space="preserve">Etappe 10 · Wochen 10–11 · Modul L (Lernfeld 11)</w:t>
      </w:r>
    </w:p>
    <w:p>
      <w:pPr>
        <w:pBdr>
          <w:bottom w:val="single" w:color="F0A500" w:sz="12"/>
        </w:pBdr>
        <w:spacing w:after="200"/>
      </w:pPr>
      <w:r>
        <w:rPr>
          <w:rFonts w:ascii="Calibri" w:cs="Calibri" w:eastAsia="Calibri" w:hAnsi="Calibri"/>
          <w:color w:val="595959"/>
          <w:sz w:val="20"/>
          <w:szCs w:val="20"/>
        </w:rPr>
        <w:t xml:space="preserve">FISI · bfw Lübeck · Juli 2026 · Gruppenarbeit · Abgabe und Präsentation in Woche 11</w:t>
      </w:r>
    </w:p>
    <w:p>
      <w:pPr>
        <w:pStyle w:val="Heading1"/>
        <w:pBdr>
          <w:bottom w:val="single" w:color="F0A500" w:sz="8"/>
        </w:pBdr>
        <w:spacing w:after="140" w:before="320"/>
      </w:pPr>
      <w:r>
        <w:rPr>
          <w:rFonts w:ascii="Calibri" w:cs="Calibri" w:eastAsia="Calibri" w:hAnsi="Calibri"/>
          <w:b/>
          <w:bCs/>
          <w:color w:val="003366"/>
          <w:sz w:val="28"/>
          <w:szCs w:val="28"/>
        </w:rPr>
        <w:t xml:space="preserve">Worum es geht</w:t>
      </w:r>
    </w:p>
    <w:p>
      <w:pPr>
        <w:spacing w:after="130" w:line="276"/>
      </w:pPr>
      <w:r>
        <w:rPr>
          <w:rFonts w:ascii="Calibri" w:cs="Calibri" w:eastAsia="Calibri" w:hAnsi="Calibri"/>
          <w:b w:val="false"/>
          <w:bCs w:val="false"/>
          <w:i w:val="false"/>
          <w:iCs w:val="false"/>
          <w:color w:val="222222"/>
          <w:sz w:val="22"/>
          <w:szCs w:val="22"/>
        </w:rPr>
        <w:t xml:space="preserve">Ihr habt in den vergangenen Wochen eine komplette Umgebung geplant, aufgebaut, überwacht, gesichert und gehärtet. Jetzt fasst ihr alles zu dem Dokument zusammen, das im echten IT-Betrieb den Unterschied macht: das Betriebshandbuch. Es beantwortet die Frage, die im Ernstfall zählt – kann jemand anderes diese Umgebung verstehen, betreiben und im Notfall wiederherstellen, ohne euch fragen zu können?</w:t>
      </w:r>
    </w:p>
    <w:tbl>
      <w:tblPr>
        <w:tblW w:type="dxa" w:w="9026"/>
        <w:tblBorders>
          <w:top w:val="single" w:color="0066AA" w:sz="12"/>
          <w:left w:val="single" w:color="0066AA" w:sz="12"/>
          <w:bottom w:val="single" w:color="0066AA" w:sz="12"/>
          <w:right w:val="single" w:color="0066AA" w:sz="12"/>
          <w:insideH w:val="none" w:color="FFFFFF" w:sz="0"/>
          <w:insideV w:val="none" w:color="FFFFFF" w:sz="0"/>
        </w:tblBorders>
      </w:tblPr>
      <w:tblGrid>
        <w:gridCol w:w="9026"/>
      </w:tblGrid>
      <w:tr>
        <w:tc>
          <w:tcPr>
            <w:tcW w:type="dxa" w:w="9026"/>
            <w:shd w:fill="EEF5FB" w:val="clear"/>
            <w:tcMar>
              <w:top w:type="dxa" w:w="120"/>
              <w:left w:type="dxa" w:w="160"/>
              <w:bottom w:type="dxa" w:w="120"/>
              <w:right w:type="dxa" w:w="160"/>
            </w:tcMar>
          </w:tcPr>
          <w:p>
            <w:pPr>
              <w:spacing w:after="80"/>
            </w:pPr>
            <w:r>
              <w:rPr>
                <w:rFonts w:ascii="Calibri" w:cs="Calibri" w:eastAsia="Calibri" w:hAnsi="Calibri"/>
                <w:b/>
                <w:bCs/>
                <w:color w:val="003366"/>
                <w:sz w:val="22"/>
                <w:szCs w:val="22"/>
              </w:rPr>
              <w:t xml:space="preserve">Der Maßstab</w:t>
            </w:r>
          </w:p>
          <w:p>
            <w:pPr>
              <w:spacing w:after="60" w:line="276"/>
            </w:pPr>
            <w:r>
              <w:rPr>
                <w:rFonts w:ascii="Calibri" w:cs="Calibri" w:eastAsia="Calibri" w:hAnsi="Calibri"/>
                <w:color w:val="222222"/>
                <w:sz w:val="22"/>
                <w:szCs w:val="22"/>
              </w:rPr>
              <w:t xml:space="preserve">Stellt euch vor, ihr seid am Montag krank und eine Vertretung übernimmt eure Umgebung. Alles, was diese Person wissen muss, gehört ins Handbuch. Alles, was nur in eurem Kopf steht, fehlt.</w:t>
            </w:r>
          </w:p>
        </w:tc>
      </w:tr>
    </w:tbl>
    <w:p>
      <w:pPr>
        <w:pStyle w:val="Heading1"/>
        <w:pBdr>
          <w:bottom w:val="single" w:color="F0A500" w:sz="8"/>
        </w:pBdr>
        <w:spacing w:after="140" w:before="320"/>
      </w:pPr>
      <w:r>
        <w:rPr>
          <w:rFonts w:ascii="Calibri" w:cs="Calibri" w:eastAsia="Calibri" w:hAnsi="Calibri"/>
          <w:b/>
          <w:bCs/>
          <w:color w:val="003366"/>
          <w:sz w:val="28"/>
          <w:szCs w:val="28"/>
        </w:rPr>
        <w:t xml:space="preserve">Was ihr abgebt</w:t>
      </w:r>
    </w:p>
    <w:p>
      <w:pPr>
        <w:pStyle w:val="ListParagraph"/>
        <w:numPr>
          <w:ilvl w:val="0"/>
          <w:numId w:val="2"/>
        </w:numPr>
        <w:spacing w:after="80" w:line="276"/>
      </w:pPr>
      <w:r>
        <w:rPr>
          <w:rFonts w:ascii="Calibri" w:cs="Calibri" w:eastAsia="Calibri" w:hAnsi="Calibri"/>
          <w:color w:val="222222"/>
          <w:sz w:val="22"/>
          <w:szCs w:val="22"/>
        </w:rPr>
        <w:t xml:space="preserve">Das Betriebshandbuch als PDF (Richtwert 15–25 Seiten, ohne Anhänge).</w:t>
      </w:r>
    </w:p>
    <w:p>
      <w:pPr>
        <w:pStyle w:val="ListParagraph"/>
        <w:numPr>
          <w:ilvl w:val="0"/>
          <w:numId w:val="2"/>
        </w:numPr>
        <w:spacing w:after="80" w:line="276"/>
      </w:pPr>
      <w:r>
        <w:rPr>
          <w:rFonts w:ascii="Calibri" w:cs="Calibri" w:eastAsia="Calibri" w:hAnsi="Calibri"/>
          <w:color w:val="222222"/>
          <w:sz w:val="22"/>
          <w:szCs w:val="22"/>
        </w:rPr>
        <w:t xml:space="preserve">Eine Abschlusspräsentation von 15 Minuten nach der Gestaltungsrichtlinie Herbst 2024, mit Handout.</w:t>
      </w:r>
    </w:p>
    <w:p>
      <w:pPr>
        <w:pStyle w:val="ListParagraph"/>
        <w:numPr>
          <w:ilvl w:val="0"/>
          <w:numId w:val="2"/>
        </w:numPr>
        <w:spacing w:after="80" w:line="276"/>
      </w:pPr>
      <w:r>
        <w:rPr>
          <w:rFonts w:ascii="Calibri" w:cs="Calibri" w:eastAsia="Calibri" w:hAnsi="Calibri"/>
          <w:color w:val="222222"/>
          <w:sz w:val="22"/>
          <w:szCs w:val="22"/>
        </w:rPr>
        <w:t xml:space="preserve">Eine kurze Live-Demonstration eurer Umgebung (ca. 5 Minuten) – z. B. Monitoring-Dashboard, ein Restore oder ein ausgelöster Alarm.</w:t>
      </w:r>
    </w:p>
    <w:p>
      <w:pPr>
        <w:pStyle w:val="ListParagraph"/>
        <w:numPr>
          <w:ilvl w:val="0"/>
          <w:numId w:val="2"/>
        </w:numPr>
        <w:spacing w:after="80" w:line="276"/>
      </w:pPr>
      <w:r>
        <w:rPr>
          <w:rFonts w:ascii="Calibri" w:cs="Calibri" w:eastAsia="Calibri" w:hAnsi="Calibri"/>
          <w:color w:val="222222"/>
          <w:sz w:val="22"/>
          <w:szCs w:val="22"/>
        </w:rPr>
        <w:t xml:space="preserve">Die Rohdokumente aus den Labs als Anhang (Protokolle, Messprotokoll, Checklisten).</w:t>
      </w:r>
    </w:p>
    <w:p>
      <w:pPr>
        <w:pStyle w:val="Heading1"/>
        <w:pBdr>
          <w:bottom w:val="single" w:color="F0A500" w:sz="8"/>
        </w:pBdr>
        <w:spacing w:after="140" w:before="320"/>
      </w:pPr>
      <w:r>
        <w:rPr>
          <w:rFonts w:ascii="Calibri" w:cs="Calibri" w:eastAsia="Calibri" w:hAnsi="Calibri"/>
          <w:b/>
          <w:bCs/>
          <w:color w:val="003366"/>
          <w:sz w:val="28"/>
          <w:szCs w:val="28"/>
        </w:rPr>
        <w:t xml:space="preserve">Gliederung des Betriebshandbuchs</w:t>
      </w:r>
    </w:p>
    <w:p>
      <w:pPr>
        <w:spacing w:after="140" w:line="276"/>
      </w:pPr>
      <w:r>
        <w:rPr>
          <w:rFonts w:ascii="Calibri" w:cs="Calibri" w:eastAsia="Calibri" w:hAnsi="Calibri"/>
          <w:b w:val="false"/>
          <w:bCs w:val="false"/>
          <w:i w:val="false"/>
          <w:iCs w:val="false"/>
          <w:color w:val="222222"/>
          <w:sz w:val="22"/>
          <w:szCs w:val="22"/>
        </w:rPr>
        <w:t xml:space="preserve">Diese Gliederung ist verbindlich. Sie ist bewusst so aufgebaut, dass sie den gesamten Modulstoff abbildet – der Verweis in Klammern zeigt, aus welcher Etappe das Material stammt.</w:t>
      </w:r>
    </w:p>
    <w:tbl>
      <w:tblPr>
        <w:tblW w:type="dxa" w:w="9026"/>
        <w:tblBorders>
          <w:top w:val="single" w:color="D6E4F0" w:sz="4"/>
          <w:left w:val="single" w:color="D6E4F0" w:sz="4"/>
          <w:bottom w:val="single" w:color="D6E4F0" w:sz="4"/>
          <w:right w:val="single" w:color="D6E4F0" w:sz="4"/>
          <w:insideH w:val="single" w:color="D6E4F0" w:sz="4"/>
          <w:insideV w:val="single" w:color="D6E4F0" w:sz="4"/>
        </w:tblBorders>
      </w:tblPr>
      <w:tblGrid>
        <w:gridCol w:w="700"/>
        <w:gridCol w:w="3400"/>
        <w:gridCol w:w="4926"/>
      </w:tblGrid>
      <w:tr>
        <w:trPr>
          <w:tblHeader/>
        </w:trPr>
        <w:tc>
          <w:tcPr>
            <w:tcW w:type="dxa" w:w="700"/>
            <w:shd w:fill="003366" w:val="clear"/>
            <w:tcMar>
              <w:top w:type="dxa" w:w="80"/>
              <w:left w:type="dxa" w:w="100"/>
              <w:bottom w:type="dxa" w:w="80"/>
              <w:right w:type="dxa" w:w="100"/>
            </w:tcMar>
          </w:tcPr>
          <w:p>
            <w:r>
              <w:rPr>
                <w:rFonts w:ascii="Calibri" w:cs="Calibri" w:eastAsia="Calibri" w:hAnsi="Calibri"/>
                <w:b/>
                <w:bCs/>
                <w:color w:val="FFFFFF"/>
                <w:sz w:val="20"/>
                <w:szCs w:val="20"/>
              </w:rPr>
              <w:t xml:space="preserve">Nr.</w:t>
            </w:r>
          </w:p>
        </w:tc>
        <w:tc>
          <w:tcPr>
            <w:tcW w:type="dxa" w:w="3400"/>
            <w:shd w:fill="003366" w:val="clear"/>
            <w:tcMar>
              <w:top w:type="dxa" w:w="80"/>
              <w:left w:type="dxa" w:w="100"/>
              <w:bottom w:type="dxa" w:w="80"/>
              <w:right w:type="dxa" w:w="100"/>
            </w:tcMar>
          </w:tcPr>
          <w:p>
            <w:r>
              <w:rPr>
                <w:rFonts w:ascii="Calibri" w:cs="Calibri" w:eastAsia="Calibri" w:hAnsi="Calibri"/>
                <w:b/>
                <w:bCs/>
                <w:color w:val="FFFFFF"/>
                <w:sz w:val="20"/>
                <w:szCs w:val="20"/>
              </w:rPr>
              <w:t xml:space="preserve">Kapitel</w:t>
            </w:r>
          </w:p>
        </w:tc>
        <w:tc>
          <w:tcPr>
            <w:tcW w:type="dxa" w:w="4926"/>
            <w:shd w:fill="003366" w:val="clear"/>
            <w:tcMar>
              <w:top w:type="dxa" w:w="80"/>
              <w:left w:type="dxa" w:w="100"/>
              <w:bottom w:type="dxa" w:w="80"/>
              <w:right w:type="dxa" w:w="100"/>
            </w:tcMar>
          </w:tcPr>
          <w:p>
            <w:r>
              <w:rPr>
                <w:rFonts w:ascii="Calibri" w:cs="Calibri" w:eastAsia="Calibri" w:hAnsi="Calibri"/>
                <w:b/>
                <w:bCs/>
                <w:color w:val="FFFFFF"/>
                <w:sz w:val="20"/>
                <w:szCs w:val="20"/>
              </w:rPr>
              <w:t xml:space="preserve">Inhalt</w:t>
            </w:r>
          </w:p>
        </w:tc>
      </w:tr>
      <w:tr>
        <w:tc>
          <w:tcPr>
            <w:tcW w:type="dxa" w:w="700"/>
            <w:tcMar>
              <w:top w:type="dxa" w:w="80"/>
              <w:left w:type="dxa" w:w="100"/>
              <w:bottom w:type="dxa" w:w="80"/>
              <w:right w:type="dxa" w:w="100"/>
            </w:tcMar>
          </w:tcPr>
          <w:p>
            <w:pPr>
              <w:spacing w:line="260"/>
            </w:pPr>
            <w:r>
              <w:rPr>
                <w:rFonts w:ascii="Calibri" w:cs="Calibri" w:eastAsia="Calibri" w:hAnsi="Calibri"/>
                <w:b/>
                <w:bCs/>
                <w:color w:val="222222"/>
                <w:sz w:val="20"/>
                <w:szCs w:val="20"/>
              </w:rPr>
              <w:t xml:space="preserve">1</w:t>
            </w:r>
          </w:p>
        </w:tc>
        <w:tc>
          <w:tcPr>
            <w:tcW w:type="dxa" w:w="3400"/>
            <w:tcMar>
              <w:top w:type="dxa" w:w="80"/>
              <w:left w:type="dxa" w:w="100"/>
              <w:bottom w:type="dxa" w:w="80"/>
              <w:right w:type="dxa" w:w="100"/>
            </w:tcMar>
          </w:tcPr>
          <w:p>
            <w:pPr>
              <w:spacing w:line="260"/>
            </w:pPr>
            <w:r>
              <w:rPr>
                <w:rFonts w:ascii="Calibri" w:cs="Calibri" w:eastAsia="Calibri" w:hAnsi="Calibri"/>
                <w:b w:val="false"/>
                <w:bCs w:val="false"/>
                <w:color w:val="222222"/>
                <w:sz w:val="20"/>
                <w:szCs w:val="20"/>
              </w:rPr>
              <w:t xml:space="preserve">Deckblatt und Inhaltsverzeichnis</w:t>
            </w:r>
          </w:p>
        </w:tc>
        <w:tc>
          <w:tcPr>
            <w:tcW w:type="dxa" w:w="4926"/>
            <w:tcMar>
              <w:top w:type="dxa" w:w="80"/>
              <w:left w:type="dxa" w:w="100"/>
              <w:bottom w:type="dxa" w:w="80"/>
              <w:right w:type="dxa" w:w="100"/>
            </w:tcMar>
          </w:tcPr>
          <w:p>
            <w:pPr>
              <w:spacing w:line="260"/>
            </w:pPr>
            <w:r>
              <w:rPr>
                <w:rFonts w:ascii="Calibri" w:cs="Calibri" w:eastAsia="Calibri" w:hAnsi="Calibri"/>
                <w:b w:val="false"/>
                <w:bCs w:val="false"/>
                <w:color w:val="222222"/>
                <w:sz w:val="20"/>
                <w:szCs w:val="20"/>
              </w:rPr>
              <w:t xml:space="preserve">Gruppe, Umgebung, Datum, Versionsstand</w:t>
            </w:r>
          </w:p>
        </w:tc>
      </w:tr>
      <w:tr>
        <w:tc>
          <w:tcPr>
            <w:tcW w:type="dxa" w:w="700"/>
            <w:shd w:fill="EEF5FB" w:val="clear"/>
            <w:tcMar>
              <w:top w:type="dxa" w:w="80"/>
              <w:left w:type="dxa" w:w="100"/>
              <w:bottom w:type="dxa" w:w="80"/>
              <w:right w:type="dxa" w:w="100"/>
            </w:tcMar>
          </w:tcPr>
          <w:p>
            <w:pPr>
              <w:spacing w:line="260"/>
            </w:pPr>
            <w:r>
              <w:rPr>
                <w:rFonts w:ascii="Calibri" w:cs="Calibri" w:eastAsia="Calibri" w:hAnsi="Calibri"/>
                <w:b/>
                <w:bCs/>
                <w:color w:val="222222"/>
                <w:sz w:val="20"/>
                <w:szCs w:val="20"/>
              </w:rPr>
              <w:t xml:space="preserve">2</w:t>
            </w:r>
          </w:p>
        </w:tc>
        <w:tc>
          <w:tcPr>
            <w:tcW w:type="dxa" w:w="3400"/>
            <w:shd w:fill="EEF5FB" w:val="clear"/>
            <w:tcMar>
              <w:top w:type="dxa" w:w="80"/>
              <w:left w:type="dxa" w:w="100"/>
              <w:bottom w:type="dxa" w:w="80"/>
              <w:right w:type="dxa" w:w="100"/>
            </w:tcMar>
          </w:tcPr>
          <w:p>
            <w:pPr>
              <w:spacing w:line="260"/>
            </w:pPr>
            <w:r>
              <w:rPr>
                <w:rFonts w:ascii="Calibri" w:cs="Calibri" w:eastAsia="Calibri" w:hAnsi="Calibri"/>
                <w:b w:val="false"/>
                <w:bCs w:val="false"/>
                <w:color w:val="222222"/>
                <w:sz w:val="20"/>
                <w:szCs w:val="20"/>
              </w:rPr>
              <w:t xml:space="preserve">Übersicht der Umgebung</w:t>
            </w:r>
          </w:p>
        </w:tc>
        <w:tc>
          <w:tcPr>
            <w:tcW w:type="dxa" w:w="4926"/>
            <w:shd w:fill="EEF5FB" w:val="clear"/>
            <w:tcMar>
              <w:top w:type="dxa" w:w="80"/>
              <w:left w:type="dxa" w:w="100"/>
              <w:bottom w:type="dxa" w:w="80"/>
              <w:right w:type="dxa" w:w="100"/>
            </w:tcMar>
          </w:tcPr>
          <w:p>
            <w:pPr>
              <w:spacing w:line="260"/>
            </w:pPr>
            <w:r>
              <w:rPr>
                <w:rFonts w:ascii="Calibri" w:cs="Calibri" w:eastAsia="Calibri" w:hAnsi="Calibri"/>
                <w:b w:val="false"/>
                <w:bCs w:val="false"/>
                <w:color w:val="222222"/>
                <w:sz w:val="20"/>
                <w:szCs w:val="20"/>
              </w:rPr>
              <w:t xml:space="preserve">Was betreibt ihr? Zweck, beteiligte Systeme, Ansprechpartner</w:t>
            </w:r>
          </w:p>
        </w:tc>
      </w:tr>
      <w:tr>
        <w:tc>
          <w:tcPr>
            <w:tcW w:type="dxa" w:w="700"/>
            <w:tcMar>
              <w:top w:type="dxa" w:w="80"/>
              <w:left w:type="dxa" w:w="100"/>
              <w:bottom w:type="dxa" w:w="80"/>
              <w:right w:type="dxa" w:w="100"/>
            </w:tcMar>
          </w:tcPr>
          <w:p>
            <w:pPr>
              <w:spacing w:line="260"/>
            </w:pPr>
            <w:r>
              <w:rPr>
                <w:rFonts w:ascii="Calibri" w:cs="Calibri" w:eastAsia="Calibri" w:hAnsi="Calibri"/>
                <w:b/>
                <w:bCs/>
                <w:color w:val="222222"/>
                <w:sz w:val="20"/>
                <w:szCs w:val="20"/>
              </w:rPr>
              <w:t xml:space="preserve">3</w:t>
            </w:r>
          </w:p>
        </w:tc>
        <w:tc>
          <w:tcPr>
            <w:tcW w:type="dxa" w:w="3400"/>
            <w:tcMar>
              <w:top w:type="dxa" w:w="80"/>
              <w:left w:type="dxa" w:w="100"/>
              <w:bottom w:type="dxa" w:w="80"/>
              <w:right w:type="dxa" w:w="100"/>
            </w:tcMar>
          </w:tcPr>
          <w:p>
            <w:pPr>
              <w:spacing w:line="260"/>
            </w:pPr>
            <w:r>
              <w:rPr>
                <w:rFonts w:ascii="Calibri" w:cs="Calibri" w:eastAsia="Calibri" w:hAnsi="Calibri"/>
                <w:b w:val="false"/>
                <w:bCs w:val="false"/>
                <w:color w:val="222222"/>
                <w:sz w:val="20"/>
                <w:szCs w:val="20"/>
              </w:rPr>
              <w:t xml:space="preserve">Hardware- und Storage-Plan</w:t>
            </w:r>
          </w:p>
        </w:tc>
        <w:tc>
          <w:tcPr>
            <w:tcW w:type="dxa" w:w="4926"/>
            <w:tcMar>
              <w:top w:type="dxa" w:w="80"/>
              <w:left w:type="dxa" w:w="100"/>
              <w:bottom w:type="dxa" w:w="80"/>
              <w:right w:type="dxa" w:w="100"/>
            </w:tcMar>
          </w:tcPr>
          <w:p>
            <w:pPr>
              <w:spacing w:line="260"/>
            </w:pPr>
            <w:r>
              <w:rPr>
                <w:rFonts w:ascii="Calibri" w:cs="Calibri" w:eastAsia="Calibri" w:hAnsi="Calibri"/>
                <w:b w:val="false"/>
                <w:bCs w:val="false"/>
                <w:color w:val="222222"/>
                <w:sz w:val="20"/>
                <w:szCs w:val="20"/>
              </w:rPr>
              <w:t xml:space="preserve">Inventar, RAID-Entscheidung mit Begründung, Pools und Tiering (E6)</w:t>
            </w:r>
          </w:p>
        </w:tc>
      </w:tr>
      <w:tr>
        <w:tc>
          <w:tcPr>
            <w:tcW w:type="dxa" w:w="700"/>
            <w:shd w:fill="EEF5FB" w:val="clear"/>
            <w:tcMar>
              <w:top w:type="dxa" w:w="80"/>
              <w:left w:type="dxa" w:w="100"/>
              <w:bottom w:type="dxa" w:w="80"/>
              <w:right w:type="dxa" w:w="100"/>
            </w:tcMar>
          </w:tcPr>
          <w:p>
            <w:pPr>
              <w:spacing w:line="260"/>
            </w:pPr>
            <w:r>
              <w:rPr>
                <w:rFonts w:ascii="Calibri" w:cs="Calibri" w:eastAsia="Calibri" w:hAnsi="Calibri"/>
                <w:b/>
                <w:bCs/>
                <w:color w:val="222222"/>
                <w:sz w:val="20"/>
                <w:szCs w:val="20"/>
              </w:rPr>
              <w:t xml:space="preserve">4</w:t>
            </w:r>
          </w:p>
        </w:tc>
        <w:tc>
          <w:tcPr>
            <w:tcW w:type="dxa" w:w="3400"/>
            <w:shd w:fill="EEF5FB" w:val="clear"/>
            <w:tcMar>
              <w:top w:type="dxa" w:w="80"/>
              <w:left w:type="dxa" w:w="100"/>
              <w:bottom w:type="dxa" w:w="80"/>
              <w:right w:type="dxa" w:w="100"/>
            </w:tcMar>
          </w:tcPr>
          <w:p>
            <w:pPr>
              <w:spacing w:line="260"/>
            </w:pPr>
            <w:r>
              <w:rPr>
                <w:rFonts w:ascii="Calibri" w:cs="Calibri" w:eastAsia="Calibri" w:hAnsi="Calibri"/>
                <w:b w:val="false"/>
                <w:bCs w:val="false"/>
                <w:color w:val="222222"/>
                <w:sz w:val="20"/>
                <w:szCs w:val="20"/>
              </w:rPr>
              <w:t xml:space="preserve">Netzplan</w:t>
            </w:r>
          </w:p>
        </w:tc>
        <w:tc>
          <w:tcPr>
            <w:tcW w:type="dxa" w:w="4926"/>
            <w:shd w:fill="EEF5FB" w:val="clear"/>
            <w:tcMar>
              <w:top w:type="dxa" w:w="80"/>
              <w:left w:type="dxa" w:w="100"/>
              <w:bottom w:type="dxa" w:w="80"/>
              <w:right w:type="dxa" w:w="100"/>
            </w:tcMar>
          </w:tcPr>
          <w:p>
            <w:pPr>
              <w:spacing w:line="260"/>
            </w:pPr>
            <w:r>
              <w:rPr>
                <w:rFonts w:ascii="Calibri" w:cs="Calibri" w:eastAsia="Calibri" w:hAnsi="Calibri"/>
                <w:b w:val="false"/>
                <w:bCs w:val="false"/>
                <w:color w:val="222222"/>
                <w:sz w:val="20"/>
                <w:szCs w:val="20"/>
              </w:rPr>
              <w:t xml:space="preserve">VLANs, Trunk, Management-Segment, IP-Konzept (E6)</w:t>
            </w:r>
          </w:p>
        </w:tc>
      </w:tr>
      <w:tr>
        <w:tc>
          <w:tcPr>
            <w:tcW w:type="dxa" w:w="700"/>
            <w:tcMar>
              <w:top w:type="dxa" w:w="80"/>
              <w:left w:type="dxa" w:w="100"/>
              <w:bottom w:type="dxa" w:w="80"/>
              <w:right w:type="dxa" w:w="100"/>
            </w:tcMar>
          </w:tcPr>
          <w:p>
            <w:pPr>
              <w:spacing w:line="260"/>
            </w:pPr>
            <w:r>
              <w:rPr>
                <w:rFonts w:ascii="Calibri" w:cs="Calibri" w:eastAsia="Calibri" w:hAnsi="Calibri"/>
                <w:b/>
                <w:bCs/>
                <w:color w:val="222222"/>
                <w:sz w:val="20"/>
                <w:szCs w:val="20"/>
              </w:rPr>
              <w:t xml:space="preserve">5</w:t>
            </w:r>
          </w:p>
        </w:tc>
        <w:tc>
          <w:tcPr>
            <w:tcW w:type="dxa" w:w="3400"/>
            <w:tcMar>
              <w:top w:type="dxa" w:w="80"/>
              <w:left w:type="dxa" w:w="100"/>
              <w:bottom w:type="dxa" w:w="80"/>
              <w:right w:type="dxa" w:w="100"/>
            </w:tcMar>
          </w:tcPr>
          <w:p>
            <w:pPr>
              <w:spacing w:line="260"/>
            </w:pPr>
            <w:r>
              <w:rPr>
                <w:rFonts w:ascii="Calibri" w:cs="Calibri" w:eastAsia="Calibri" w:hAnsi="Calibri"/>
                <w:b w:val="false"/>
                <w:bCs w:val="false"/>
                <w:color w:val="222222"/>
                <w:sz w:val="20"/>
                <w:szCs w:val="20"/>
              </w:rPr>
              <w:t xml:space="preserve">Virtualisierung und Verfügbarkeit</w:t>
            </w:r>
          </w:p>
        </w:tc>
        <w:tc>
          <w:tcPr>
            <w:tcW w:type="dxa" w:w="4926"/>
            <w:tcMar>
              <w:top w:type="dxa" w:w="80"/>
              <w:left w:type="dxa" w:w="100"/>
              <w:bottom w:type="dxa" w:w="80"/>
              <w:right w:type="dxa" w:w="100"/>
            </w:tcMar>
          </w:tcPr>
          <w:p>
            <w:pPr>
              <w:spacing w:line="260"/>
            </w:pPr>
            <w:r>
              <w:rPr>
                <w:rFonts w:ascii="Calibri" w:cs="Calibri" w:eastAsia="Calibri" w:hAnsi="Calibri"/>
                <w:b w:val="false"/>
                <w:bCs w:val="false"/>
                <w:color w:val="222222"/>
                <w:sz w:val="20"/>
                <w:szCs w:val="20"/>
              </w:rPr>
              <w:t xml:space="preserve">Cluster, Quorum, HA-Regeln, Grenzen der Lab-Umgebung (E7)</w:t>
            </w:r>
          </w:p>
        </w:tc>
      </w:tr>
      <w:tr>
        <w:tc>
          <w:tcPr>
            <w:tcW w:type="dxa" w:w="700"/>
            <w:shd w:fill="EEF5FB" w:val="clear"/>
            <w:tcMar>
              <w:top w:type="dxa" w:w="80"/>
              <w:left w:type="dxa" w:w="100"/>
              <w:bottom w:type="dxa" w:w="80"/>
              <w:right w:type="dxa" w:w="100"/>
            </w:tcMar>
          </w:tcPr>
          <w:p>
            <w:pPr>
              <w:spacing w:line="260"/>
            </w:pPr>
            <w:r>
              <w:rPr>
                <w:rFonts w:ascii="Calibri" w:cs="Calibri" w:eastAsia="Calibri" w:hAnsi="Calibri"/>
                <w:b/>
                <w:bCs/>
                <w:color w:val="222222"/>
                <w:sz w:val="20"/>
                <w:szCs w:val="20"/>
              </w:rPr>
              <w:t xml:space="preserve">6</w:t>
            </w:r>
          </w:p>
        </w:tc>
        <w:tc>
          <w:tcPr>
            <w:tcW w:type="dxa" w:w="3400"/>
            <w:shd w:fill="EEF5FB" w:val="clear"/>
            <w:tcMar>
              <w:top w:type="dxa" w:w="80"/>
              <w:left w:type="dxa" w:w="100"/>
              <w:bottom w:type="dxa" w:w="80"/>
              <w:right w:type="dxa" w:w="100"/>
            </w:tcMar>
          </w:tcPr>
          <w:p>
            <w:pPr>
              <w:spacing w:line="260"/>
            </w:pPr>
            <w:r>
              <w:rPr>
                <w:rFonts w:ascii="Calibri" w:cs="Calibri" w:eastAsia="Calibri" w:hAnsi="Calibri"/>
                <w:b w:val="false"/>
                <w:bCs w:val="false"/>
                <w:color w:val="222222"/>
                <w:sz w:val="20"/>
                <w:szCs w:val="20"/>
              </w:rPr>
              <w:t xml:space="preserve">Backupkonzept</w:t>
            </w:r>
          </w:p>
        </w:tc>
        <w:tc>
          <w:tcPr>
            <w:tcW w:type="dxa" w:w="4926"/>
            <w:shd w:fill="EEF5FB" w:val="clear"/>
            <w:tcMar>
              <w:top w:type="dxa" w:w="80"/>
              <w:left w:type="dxa" w:w="100"/>
              <w:bottom w:type="dxa" w:w="80"/>
              <w:right w:type="dxa" w:w="100"/>
            </w:tcMar>
          </w:tcPr>
          <w:p>
            <w:pPr>
              <w:spacing w:line="260"/>
            </w:pPr>
            <w:r>
              <w:rPr>
                <w:rFonts w:ascii="Calibri" w:cs="Calibri" w:eastAsia="Calibri" w:hAnsi="Calibri"/>
                <w:b w:val="false"/>
                <w:bCs w:val="false"/>
                <w:color w:val="222222"/>
                <w:sz w:val="20"/>
                <w:szCs w:val="20"/>
              </w:rPr>
              <w:t xml:space="preserve">Sicherungsarten, Plan, Aufbewahrung, 3-2-1, PBS-Umsetzung (E2/E7)</w:t>
            </w:r>
          </w:p>
        </w:tc>
      </w:tr>
      <w:tr>
        <w:tc>
          <w:tcPr>
            <w:tcW w:type="dxa" w:w="700"/>
            <w:tcMar>
              <w:top w:type="dxa" w:w="80"/>
              <w:left w:type="dxa" w:w="100"/>
              <w:bottom w:type="dxa" w:w="80"/>
              <w:right w:type="dxa" w:w="100"/>
            </w:tcMar>
          </w:tcPr>
          <w:p>
            <w:pPr>
              <w:spacing w:line="260"/>
            </w:pPr>
            <w:r>
              <w:rPr>
                <w:rFonts w:ascii="Calibri" w:cs="Calibri" w:eastAsia="Calibri" w:hAnsi="Calibri"/>
                <w:b/>
                <w:bCs/>
                <w:color w:val="222222"/>
                <w:sz w:val="20"/>
                <w:szCs w:val="20"/>
              </w:rPr>
              <w:t xml:space="preserve">7</w:t>
            </w:r>
          </w:p>
        </w:tc>
        <w:tc>
          <w:tcPr>
            <w:tcW w:type="dxa" w:w="3400"/>
            <w:tcMar>
              <w:top w:type="dxa" w:w="80"/>
              <w:left w:type="dxa" w:w="100"/>
              <w:bottom w:type="dxa" w:w="80"/>
              <w:right w:type="dxa" w:w="100"/>
            </w:tcMar>
          </w:tcPr>
          <w:p>
            <w:pPr>
              <w:spacing w:line="260"/>
            </w:pPr>
            <w:r>
              <w:rPr>
                <w:rFonts w:ascii="Calibri" w:cs="Calibri" w:eastAsia="Calibri" w:hAnsi="Calibri"/>
                <w:b w:val="false"/>
                <w:bCs w:val="false"/>
                <w:color w:val="222222"/>
                <w:sz w:val="20"/>
                <w:szCs w:val="20"/>
              </w:rPr>
              <w:t xml:space="preserve">Wiederherstellung mit Messwerten</w:t>
            </w:r>
          </w:p>
        </w:tc>
        <w:tc>
          <w:tcPr>
            <w:tcW w:type="dxa" w:w="4926"/>
            <w:tcMar>
              <w:top w:type="dxa" w:w="80"/>
              <w:left w:type="dxa" w:w="100"/>
              <w:bottom w:type="dxa" w:w="80"/>
              <w:right w:type="dxa" w:w="100"/>
            </w:tcMar>
          </w:tcPr>
          <w:p>
            <w:pPr>
              <w:spacing w:line="260"/>
            </w:pPr>
            <w:r>
              <w:rPr>
                <w:rFonts w:ascii="Calibri" w:cs="Calibri" w:eastAsia="Calibri" w:hAnsi="Calibri"/>
                <w:b w:val="false"/>
                <w:bCs w:val="false"/>
                <w:color w:val="222222"/>
                <w:sz w:val="20"/>
                <w:szCs w:val="20"/>
              </w:rPr>
              <w:t xml:space="preserve">Restore-Tests, gemessene Zeiten, Bewertung gegen RPO/RTO (E7)</w:t>
            </w:r>
          </w:p>
        </w:tc>
      </w:tr>
      <w:tr>
        <w:tc>
          <w:tcPr>
            <w:tcW w:type="dxa" w:w="700"/>
            <w:shd w:fill="EEF5FB" w:val="clear"/>
            <w:tcMar>
              <w:top w:type="dxa" w:w="80"/>
              <w:left w:type="dxa" w:w="100"/>
              <w:bottom w:type="dxa" w:w="80"/>
              <w:right w:type="dxa" w:w="100"/>
            </w:tcMar>
          </w:tcPr>
          <w:p>
            <w:pPr>
              <w:spacing w:line="260"/>
            </w:pPr>
            <w:r>
              <w:rPr>
                <w:rFonts w:ascii="Calibri" w:cs="Calibri" w:eastAsia="Calibri" w:hAnsi="Calibri"/>
                <w:b/>
                <w:bCs/>
                <w:color w:val="222222"/>
                <w:sz w:val="20"/>
                <w:szCs w:val="20"/>
              </w:rPr>
              <w:t xml:space="preserve">8</w:t>
            </w:r>
          </w:p>
        </w:tc>
        <w:tc>
          <w:tcPr>
            <w:tcW w:type="dxa" w:w="3400"/>
            <w:shd w:fill="EEF5FB" w:val="clear"/>
            <w:tcMar>
              <w:top w:type="dxa" w:w="80"/>
              <w:left w:type="dxa" w:w="100"/>
              <w:bottom w:type="dxa" w:w="80"/>
              <w:right w:type="dxa" w:w="100"/>
            </w:tcMar>
          </w:tcPr>
          <w:p>
            <w:pPr>
              <w:spacing w:line="260"/>
            </w:pPr>
            <w:r>
              <w:rPr>
                <w:rFonts w:ascii="Calibri" w:cs="Calibri" w:eastAsia="Calibri" w:hAnsi="Calibri"/>
                <w:b w:val="false"/>
                <w:bCs w:val="false"/>
                <w:color w:val="222222"/>
                <w:sz w:val="20"/>
                <w:szCs w:val="20"/>
              </w:rPr>
              <w:t xml:space="preserve">Monitoring</w:t>
            </w:r>
          </w:p>
        </w:tc>
        <w:tc>
          <w:tcPr>
            <w:tcW w:type="dxa" w:w="4926"/>
            <w:shd w:fill="EEF5FB" w:val="clear"/>
            <w:tcMar>
              <w:top w:type="dxa" w:w="80"/>
              <w:left w:type="dxa" w:w="100"/>
              <w:bottom w:type="dxa" w:w="80"/>
              <w:right w:type="dxa" w:w="100"/>
            </w:tcMar>
          </w:tcPr>
          <w:p>
            <w:pPr>
              <w:spacing w:line="260"/>
            </w:pPr>
            <w:r>
              <w:rPr>
                <w:rFonts w:ascii="Calibri" w:cs="Calibri" w:eastAsia="Calibri" w:hAnsi="Calibri"/>
                <w:b w:val="false"/>
                <w:bCs w:val="false"/>
                <w:color w:val="222222"/>
                <w:sz w:val="20"/>
                <w:szCs w:val="20"/>
              </w:rPr>
              <w:t xml:space="preserve">Überwachte Objekte, Schwellwerte, Eskalation, Dashboard (E3)</w:t>
            </w:r>
          </w:p>
        </w:tc>
      </w:tr>
      <w:tr>
        <w:tc>
          <w:tcPr>
            <w:tcW w:type="dxa" w:w="700"/>
            <w:tcMar>
              <w:top w:type="dxa" w:w="80"/>
              <w:left w:type="dxa" w:w="100"/>
              <w:bottom w:type="dxa" w:w="80"/>
              <w:right w:type="dxa" w:w="100"/>
            </w:tcMar>
          </w:tcPr>
          <w:p>
            <w:pPr>
              <w:spacing w:line="260"/>
            </w:pPr>
            <w:r>
              <w:rPr>
                <w:rFonts w:ascii="Calibri" w:cs="Calibri" w:eastAsia="Calibri" w:hAnsi="Calibri"/>
                <w:b/>
                <w:bCs/>
                <w:color w:val="222222"/>
                <w:sz w:val="20"/>
                <w:szCs w:val="20"/>
              </w:rPr>
              <w:t xml:space="preserve">9</w:t>
            </w:r>
          </w:p>
        </w:tc>
        <w:tc>
          <w:tcPr>
            <w:tcW w:type="dxa" w:w="3400"/>
            <w:tcMar>
              <w:top w:type="dxa" w:w="80"/>
              <w:left w:type="dxa" w:w="100"/>
              <w:bottom w:type="dxa" w:w="80"/>
              <w:right w:type="dxa" w:w="100"/>
            </w:tcMar>
          </w:tcPr>
          <w:p>
            <w:pPr>
              <w:spacing w:line="260"/>
            </w:pPr>
            <w:r>
              <w:rPr>
                <w:rFonts w:ascii="Calibri" w:cs="Calibri" w:eastAsia="Calibri" w:hAnsi="Calibri"/>
                <w:b w:val="false"/>
                <w:bCs w:val="false"/>
                <w:color w:val="222222"/>
                <w:sz w:val="20"/>
                <w:szCs w:val="20"/>
              </w:rPr>
              <w:t xml:space="preserve">Härtungsnachweis</w:t>
            </w:r>
          </w:p>
        </w:tc>
        <w:tc>
          <w:tcPr>
            <w:tcW w:type="dxa" w:w="4926"/>
            <w:tcMar>
              <w:top w:type="dxa" w:w="80"/>
              <w:left w:type="dxa" w:w="100"/>
              <w:bottom w:type="dxa" w:w="80"/>
              <w:right w:type="dxa" w:w="100"/>
            </w:tcMar>
          </w:tcPr>
          <w:p>
            <w:pPr>
              <w:spacing w:line="260"/>
            </w:pPr>
            <w:r>
              <w:rPr>
                <w:rFonts w:ascii="Calibri" w:cs="Calibri" w:eastAsia="Calibri" w:hAnsi="Calibri"/>
                <w:b w:val="false"/>
                <w:bCs w:val="false"/>
                <w:color w:val="222222"/>
                <w:sz w:val="20"/>
                <w:szCs w:val="20"/>
              </w:rPr>
              <w:t xml:space="preserve">Umgesetzte Maßnahmen Server und Netz, jeweils mit Schutzziel (E4/E8)</w:t>
            </w:r>
          </w:p>
        </w:tc>
      </w:tr>
      <w:tr>
        <w:tc>
          <w:tcPr>
            <w:tcW w:type="dxa" w:w="700"/>
            <w:shd w:fill="EEF5FB" w:val="clear"/>
            <w:tcMar>
              <w:top w:type="dxa" w:w="80"/>
              <w:left w:type="dxa" w:w="100"/>
              <w:bottom w:type="dxa" w:w="80"/>
              <w:right w:type="dxa" w:w="100"/>
            </w:tcMar>
          </w:tcPr>
          <w:p>
            <w:pPr>
              <w:spacing w:line="260"/>
            </w:pPr>
            <w:r>
              <w:rPr>
                <w:rFonts w:ascii="Calibri" w:cs="Calibri" w:eastAsia="Calibri" w:hAnsi="Calibri"/>
                <w:b/>
                <w:bCs/>
                <w:color w:val="222222"/>
                <w:sz w:val="20"/>
                <w:szCs w:val="20"/>
              </w:rPr>
              <w:t xml:space="preserve">10</w:t>
            </w:r>
          </w:p>
        </w:tc>
        <w:tc>
          <w:tcPr>
            <w:tcW w:type="dxa" w:w="3400"/>
            <w:shd w:fill="EEF5FB" w:val="clear"/>
            <w:tcMar>
              <w:top w:type="dxa" w:w="80"/>
              <w:left w:type="dxa" w:w="100"/>
              <w:bottom w:type="dxa" w:w="80"/>
              <w:right w:type="dxa" w:w="100"/>
            </w:tcMar>
          </w:tcPr>
          <w:p>
            <w:pPr>
              <w:spacing w:line="260"/>
            </w:pPr>
            <w:r>
              <w:rPr>
                <w:rFonts w:ascii="Calibri" w:cs="Calibri" w:eastAsia="Calibri" w:hAnsi="Calibri"/>
                <w:b w:val="false"/>
                <w:bCs w:val="false"/>
                <w:color w:val="222222"/>
                <w:sz w:val="20"/>
                <w:szCs w:val="20"/>
              </w:rPr>
              <w:t xml:space="preserve">Protokollierung und SIEM</w:t>
            </w:r>
          </w:p>
        </w:tc>
        <w:tc>
          <w:tcPr>
            <w:tcW w:type="dxa" w:w="4926"/>
            <w:shd w:fill="EEF5FB" w:val="clear"/>
            <w:tcMar>
              <w:top w:type="dxa" w:w="80"/>
              <w:left w:type="dxa" w:w="100"/>
              <w:bottom w:type="dxa" w:w="80"/>
              <w:right w:type="dxa" w:w="100"/>
            </w:tcMar>
          </w:tcPr>
          <w:p>
            <w:pPr>
              <w:spacing w:line="260"/>
            </w:pPr>
            <w:r>
              <w:rPr>
                <w:rFonts w:ascii="Calibri" w:cs="Calibri" w:eastAsia="Calibri" w:hAnsi="Calibri"/>
                <w:b w:val="false"/>
                <w:bCs w:val="false"/>
                <w:color w:val="222222"/>
                <w:sz w:val="20"/>
                <w:szCs w:val="20"/>
              </w:rPr>
              <w:t xml:space="preserve">Angebundene Quellen, Alarmregeln mit Begründung (E9)</w:t>
            </w:r>
          </w:p>
        </w:tc>
      </w:tr>
      <w:tr>
        <w:tc>
          <w:tcPr>
            <w:tcW w:type="dxa" w:w="700"/>
            <w:tcMar>
              <w:top w:type="dxa" w:w="80"/>
              <w:left w:type="dxa" w:w="100"/>
              <w:bottom w:type="dxa" w:w="80"/>
              <w:right w:type="dxa" w:w="100"/>
            </w:tcMar>
          </w:tcPr>
          <w:p>
            <w:pPr>
              <w:spacing w:line="260"/>
            </w:pPr>
            <w:r>
              <w:rPr>
                <w:rFonts w:ascii="Calibri" w:cs="Calibri" w:eastAsia="Calibri" w:hAnsi="Calibri"/>
                <w:b/>
                <w:bCs/>
                <w:color w:val="222222"/>
                <w:sz w:val="20"/>
                <w:szCs w:val="20"/>
              </w:rPr>
              <w:t xml:space="preserve">11</w:t>
            </w:r>
          </w:p>
        </w:tc>
        <w:tc>
          <w:tcPr>
            <w:tcW w:type="dxa" w:w="3400"/>
            <w:tcMar>
              <w:top w:type="dxa" w:w="80"/>
              <w:left w:type="dxa" w:w="100"/>
              <w:bottom w:type="dxa" w:w="80"/>
              <w:right w:type="dxa" w:w="100"/>
            </w:tcMar>
          </w:tcPr>
          <w:p>
            <w:pPr>
              <w:spacing w:line="260"/>
            </w:pPr>
            <w:r>
              <w:rPr>
                <w:rFonts w:ascii="Calibri" w:cs="Calibri" w:eastAsia="Calibri" w:hAnsi="Calibri"/>
                <w:b w:val="false"/>
                <w:bCs w:val="false"/>
                <w:color w:val="222222"/>
                <w:sz w:val="20"/>
                <w:szCs w:val="20"/>
              </w:rPr>
              <w:t xml:space="preserve">Schutzbedarf und Einordnung</w:t>
            </w:r>
          </w:p>
        </w:tc>
        <w:tc>
          <w:tcPr>
            <w:tcW w:type="dxa" w:w="4926"/>
            <w:tcMar>
              <w:top w:type="dxa" w:w="80"/>
              <w:left w:type="dxa" w:w="100"/>
              <w:bottom w:type="dxa" w:w="80"/>
              <w:right w:type="dxa" w:w="100"/>
            </w:tcMar>
          </w:tcPr>
          <w:p>
            <w:pPr>
              <w:spacing w:line="260"/>
            </w:pPr>
            <w:r>
              <w:rPr>
                <w:rFonts w:ascii="Calibri" w:cs="Calibri" w:eastAsia="Calibri" w:hAnsi="Calibri"/>
                <w:b w:val="false"/>
                <w:bCs w:val="false"/>
                <w:color w:val="222222"/>
                <w:sz w:val="20"/>
                <w:szCs w:val="20"/>
              </w:rPr>
              <w:t xml:space="preserve">Kurze Schutzbedarfsfeststellung eurer Umgebung (E5)</w:t>
            </w:r>
          </w:p>
        </w:tc>
      </w:tr>
      <w:tr>
        <w:tc>
          <w:tcPr>
            <w:tcW w:type="dxa" w:w="700"/>
            <w:shd w:fill="EEF5FB" w:val="clear"/>
            <w:tcMar>
              <w:top w:type="dxa" w:w="80"/>
              <w:left w:type="dxa" w:w="100"/>
              <w:bottom w:type="dxa" w:w="80"/>
              <w:right w:type="dxa" w:w="100"/>
            </w:tcMar>
          </w:tcPr>
          <w:p>
            <w:pPr>
              <w:spacing w:line="260"/>
            </w:pPr>
            <w:r>
              <w:rPr>
                <w:rFonts w:ascii="Calibri" w:cs="Calibri" w:eastAsia="Calibri" w:hAnsi="Calibri"/>
                <w:b/>
                <w:bCs/>
                <w:color w:val="222222"/>
                <w:sz w:val="20"/>
                <w:szCs w:val="20"/>
              </w:rPr>
              <w:t xml:space="preserve">12</w:t>
            </w:r>
          </w:p>
        </w:tc>
        <w:tc>
          <w:tcPr>
            <w:tcW w:type="dxa" w:w="3400"/>
            <w:shd w:fill="EEF5FB" w:val="clear"/>
            <w:tcMar>
              <w:top w:type="dxa" w:w="80"/>
              <w:left w:type="dxa" w:w="100"/>
              <w:bottom w:type="dxa" w:w="80"/>
              <w:right w:type="dxa" w:w="100"/>
            </w:tcMar>
          </w:tcPr>
          <w:p>
            <w:pPr>
              <w:spacing w:line="260"/>
            </w:pPr>
            <w:r>
              <w:rPr>
                <w:rFonts w:ascii="Calibri" w:cs="Calibri" w:eastAsia="Calibri" w:hAnsi="Calibri"/>
                <w:b w:val="false"/>
                <w:bCs w:val="false"/>
                <w:color w:val="222222"/>
                <w:sz w:val="20"/>
                <w:szCs w:val="20"/>
              </w:rPr>
              <w:t xml:space="preserve">Notfallkapitel</w:t>
            </w:r>
          </w:p>
        </w:tc>
        <w:tc>
          <w:tcPr>
            <w:tcW w:type="dxa" w:w="4926"/>
            <w:shd w:fill="EEF5FB" w:val="clear"/>
            <w:tcMar>
              <w:top w:type="dxa" w:w="80"/>
              <w:left w:type="dxa" w:w="100"/>
              <w:bottom w:type="dxa" w:w="80"/>
              <w:right w:type="dxa" w:w="100"/>
            </w:tcMar>
          </w:tcPr>
          <w:p>
            <w:pPr>
              <w:spacing w:line="260"/>
            </w:pPr>
            <w:r>
              <w:rPr>
                <w:rFonts w:ascii="Calibri" w:cs="Calibri" w:eastAsia="Calibri" w:hAnsi="Calibri"/>
                <w:b w:val="false"/>
                <w:bCs w:val="false"/>
                <w:color w:val="222222"/>
                <w:sz w:val="20"/>
                <w:szCs w:val="20"/>
              </w:rPr>
              <w:t xml:space="preserve">Rollen, IR-Phasen konkret, Meldepflichten, Restore-Ablauf (E9)</w:t>
            </w:r>
          </w:p>
        </w:tc>
      </w:tr>
      <w:tr>
        <w:tc>
          <w:tcPr>
            <w:tcW w:type="dxa" w:w="700"/>
            <w:tcMar>
              <w:top w:type="dxa" w:w="80"/>
              <w:left w:type="dxa" w:w="100"/>
              <w:bottom w:type="dxa" w:w="80"/>
              <w:right w:type="dxa" w:w="100"/>
            </w:tcMar>
          </w:tcPr>
          <w:p>
            <w:pPr>
              <w:spacing w:line="260"/>
            </w:pPr>
            <w:r>
              <w:rPr>
                <w:rFonts w:ascii="Calibri" w:cs="Calibri" w:eastAsia="Calibri" w:hAnsi="Calibri"/>
                <w:b/>
                <w:bCs/>
                <w:color w:val="222222"/>
                <w:sz w:val="20"/>
                <w:szCs w:val="20"/>
              </w:rPr>
              <w:t xml:space="preserve">13</w:t>
            </w:r>
          </w:p>
        </w:tc>
        <w:tc>
          <w:tcPr>
            <w:tcW w:type="dxa" w:w="3400"/>
            <w:tcMar>
              <w:top w:type="dxa" w:w="80"/>
              <w:left w:type="dxa" w:w="100"/>
              <w:bottom w:type="dxa" w:w="80"/>
              <w:right w:type="dxa" w:w="100"/>
            </w:tcMar>
          </w:tcPr>
          <w:p>
            <w:pPr>
              <w:spacing w:line="260"/>
            </w:pPr>
            <w:r>
              <w:rPr>
                <w:rFonts w:ascii="Calibri" w:cs="Calibri" w:eastAsia="Calibri" w:hAnsi="Calibri"/>
                <w:b w:val="false"/>
                <w:bCs w:val="false"/>
                <w:color w:val="222222"/>
                <w:sz w:val="20"/>
                <w:szCs w:val="20"/>
              </w:rPr>
              <w:t xml:space="preserve">Offene Punkte und Empfehlungen</w:t>
            </w:r>
          </w:p>
        </w:tc>
        <w:tc>
          <w:tcPr>
            <w:tcW w:type="dxa" w:w="4926"/>
            <w:tcMar>
              <w:top w:type="dxa" w:w="80"/>
              <w:left w:type="dxa" w:w="100"/>
              <w:bottom w:type="dxa" w:w="80"/>
              <w:right w:type="dxa" w:w="100"/>
            </w:tcMar>
          </w:tcPr>
          <w:p>
            <w:pPr>
              <w:spacing w:line="260"/>
            </w:pPr>
            <w:r>
              <w:rPr>
                <w:rFonts w:ascii="Calibri" w:cs="Calibri" w:eastAsia="Calibri" w:hAnsi="Calibri"/>
                <w:b w:val="false"/>
                <w:bCs w:val="false"/>
                <w:color w:val="222222"/>
                <w:sz w:val="20"/>
                <w:szCs w:val="20"/>
              </w:rPr>
              <w:t xml:space="preserve">Was fehlt noch? Was würdet ihr als Nächstes verbessern?</w:t>
            </w:r>
          </w:p>
        </w:tc>
      </w:tr>
    </w:tbl>
    <w:p>
      <w:pPr>
        <w:spacing w:after="140"/>
      </w:pPr>
    </w:p>
    <w:p>
      <w:pPr>
        <w:pStyle w:val="Heading1"/>
        <w:pBdr>
          <w:bottom w:val="single" w:color="F0A500" w:sz="8"/>
        </w:pBdr>
        <w:spacing w:after="140" w:before="320"/>
      </w:pPr>
      <w:r>
        <w:rPr>
          <w:rFonts w:ascii="Calibri" w:cs="Calibri" w:eastAsia="Calibri" w:hAnsi="Calibri"/>
          <w:b/>
          <w:bCs/>
          <w:color w:val="003366"/>
          <w:sz w:val="28"/>
          <w:szCs w:val="28"/>
        </w:rPr>
        <w:t xml:space="preserve">Qualitätsanforderungen</w:t>
      </w:r>
    </w:p>
    <w:p>
      <w:pPr>
        <w:pStyle w:val="ListParagraph"/>
        <w:numPr>
          <w:ilvl w:val="0"/>
          <w:numId w:val="3"/>
        </w:numPr>
        <w:spacing w:after="60" w:line="276"/>
      </w:pPr>
      <w:r>
        <w:rPr>
          <w:rFonts w:ascii="Calibri" w:cs="Calibri" w:eastAsia="Calibri" w:hAnsi="Calibri"/>
          <w:color w:val="222222"/>
          <w:sz w:val="22"/>
          <w:szCs w:val="22"/>
        </w:rPr>
        <w:t xml:space="preserve">Jede Entscheidung wird BEGRÜNDET, nicht nur benannt (warum RAID 10, warum dieser Schwellwert, warum diese Aufbewahrungsdauer).</w:t>
      </w:r>
    </w:p>
    <w:p>
      <w:pPr>
        <w:pStyle w:val="ListParagraph"/>
        <w:numPr>
          <w:ilvl w:val="0"/>
          <w:numId w:val="3"/>
        </w:numPr>
        <w:spacing w:after="60" w:line="276"/>
      </w:pPr>
      <w:r>
        <w:rPr>
          <w:rFonts w:ascii="Calibri" w:cs="Calibri" w:eastAsia="Calibri" w:hAnsi="Calibri"/>
          <w:color w:val="222222"/>
          <w:sz w:val="22"/>
          <w:szCs w:val="22"/>
        </w:rPr>
        <w:t xml:space="preserve">Wo ihr gemessen habt, stehen MESSWERTE – keine Schätzungen. Das gilt besonders für Kapitel 7.</w:t>
      </w:r>
    </w:p>
    <w:p>
      <w:pPr>
        <w:pStyle w:val="ListParagraph"/>
        <w:numPr>
          <w:ilvl w:val="0"/>
          <w:numId w:val="3"/>
        </w:numPr>
        <w:spacing w:after="60" w:line="276"/>
      </w:pPr>
      <w:r>
        <w:rPr>
          <w:rFonts w:ascii="Calibri" w:cs="Calibri" w:eastAsia="Calibri" w:hAnsi="Calibri"/>
          <w:color w:val="222222"/>
          <w:sz w:val="22"/>
          <w:szCs w:val="22"/>
        </w:rPr>
        <w:t xml:space="preserve">Pläne und Tabellen statt langer Fließtexte, wo es die Sache klarer macht.</w:t>
      </w:r>
    </w:p>
    <w:p>
      <w:pPr>
        <w:pStyle w:val="ListParagraph"/>
        <w:numPr>
          <w:ilvl w:val="0"/>
          <w:numId w:val="3"/>
        </w:numPr>
        <w:spacing w:after="60" w:line="276"/>
      </w:pPr>
      <w:r>
        <w:rPr>
          <w:rFonts w:ascii="Calibri" w:cs="Calibri" w:eastAsia="Calibri" w:hAnsi="Calibri"/>
          <w:color w:val="222222"/>
          <w:sz w:val="22"/>
          <w:szCs w:val="22"/>
        </w:rPr>
        <w:t xml:space="preserve">Alle Abkürzungen bei der ersten Verwendung ausschreiben, Abkürzungsverzeichnis im Anhang.</w:t>
      </w:r>
    </w:p>
    <w:p>
      <w:pPr>
        <w:pStyle w:val="ListParagraph"/>
        <w:numPr>
          <w:ilvl w:val="0"/>
          <w:numId w:val="3"/>
        </w:numPr>
        <w:spacing w:after="60" w:line="276"/>
      </w:pPr>
      <w:r>
        <w:rPr>
          <w:rFonts w:ascii="Calibri" w:cs="Calibri" w:eastAsia="Calibri" w:hAnsi="Calibri"/>
          <w:color w:val="222222"/>
          <w:sz w:val="22"/>
          <w:szCs w:val="22"/>
        </w:rPr>
        <w:t xml:space="preserve">Passwörter gehören NICHT ins Handbuch – stattdessen ein Verweis, wo sie sicher hinterlegt sind.</w:t>
      </w:r>
    </w:p>
    <w:p>
      <w:pPr>
        <w:pStyle w:val="ListParagraph"/>
        <w:numPr>
          <w:ilvl w:val="0"/>
          <w:numId w:val="3"/>
        </w:numPr>
        <w:spacing w:after="60" w:line="276"/>
      </w:pPr>
      <w:r>
        <w:rPr>
          <w:rFonts w:ascii="Calibri" w:cs="Calibri" w:eastAsia="Calibri" w:hAnsi="Calibri"/>
          <w:color w:val="222222"/>
          <w:sz w:val="22"/>
          <w:szCs w:val="22"/>
        </w:rPr>
        <w:t xml:space="preserve">Einheitliche Formatierung, Seitenzahlen, Versionsstand und Datum.</w:t>
      </w:r>
    </w:p>
    <w:p>
      <w:pPr>
        <w:spacing w:after="140"/>
      </w:pPr>
    </w:p>
    <w:p>
      <w:pPr>
        <w:pStyle w:val="Heading1"/>
        <w:pBdr>
          <w:bottom w:val="single" w:color="F0A500" w:sz="8"/>
        </w:pBdr>
        <w:spacing w:after="140" w:before="320"/>
      </w:pPr>
      <w:r>
        <w:rPr>
          <w:rFonts w:ascii="Calibri" w:cs="Calibri" w:eastAsia="Calibri" w:hAnsi="Calibri"/>
          <w:b/>
          <w:bCs/>
          <w:color w:val="003366"/>
          <w:sz w:val="28"/>
          <w:szCs w:val="28"/>
        </w:rPr>
        <w:t xml:space="preserve">Zeitplan</w:t>
      </w:r>
    </w:p>
    <w:tbl>
      <w:tblPr>
        <w:tblW w:type="dxa" w:w="9026"/>
        <w:tblBorders>
          <w:top w:val="single" w:color="D6E4F0" w:sz="4"/>
          <w:left w:val="single" w:color="D6E4F0" w:sz="4"/>
          <w:bottom w:val="single" w:color="D6E4F0" w:sz="4"/>
          <w:right w:val="single" w:color="D6E4F0" w:sz="4"/>
          <w:insideH w:val="single" w:color="D6E4F0" w:sz="4"/>
          <w:insideV w:val="single" w:color="D6E4F0" w:sz="4"/>
        </w:tblBorders>
      </w:tblPr>
      <w:tblGrid>
        <w:gridCol w:w="2200"/>
        <w:gridCol w:w="6826"/>
      </w:tblGrid>
      <w:tr>
        <w:trPr>
          <w:tblHeader/>
        </w:trPr>
        <w:tc>
          <w:tcPr>
            <w:tcW w:type="dxa" w:w="2200"/>
            <w:shd w:fill="003366" w:val="clear"/>
            <w:tcMar>
              <w:top w:type="dxa" w:w="80"/>
              <w:left w:type="dxa" w:w="100"/>
              <w:bottom w:type="dxa" w:w="80"/>
              <w:right w:type="dxa" w:w="100"/>
            </w:tcMar>
          </w:tcPr>
          <w:p>
            <w:r>
              <w:rPr>
                <w:rFonts w:ascii="Calibri" w:cs="Calibri" w:eastAsia="Calibri" w:hAnsi="Calibri"/>
                <w:b/>
                <w:bCs/>
                <w:color w:val="FFFFFF"/>
                <w:sz w:val="20"/>
                <w:szCs w:val="20"/>
              </w:rPr>
              <w:t xml:space="preserve">Zeitraum</w:t>
            </w:r>
          </w:p>
        </w:tc>
        <w:tc>
          <w:tcPr>
            <w:tcW w:type="dxa" w:w="6826"/>
            <w:shd w:fill="003366" w:val="clear"/>
            <w:tcMar>
              <w:top w:type="dxa" w:w="80"/>
              <w:left w:type="dxa" w:w="100"/>
              <w:bottom w:type="dxa" w:w="80"/>
              <w:right w:type="dxa" w:w="100"/>
            </w:tcMar>
          </w:tcPr>
          <w:p>
            <w:r>
              <w:rPr>
                <w:rFonts w:ascii="Calibri" w:cs="Calibri" w:eastAsia="Calibri" w:hAnsi="Calibri"/>
                <w:b/>
                <w:bCs/>
                <w:color w:val="FFFFFF"/>
                <w:sz w:val="20"/>
                <w:szCs w:val="20"/>
              </w:rPr>
              <w:t xml:space="preserve">Was ansteht</w:t>
            </w:r>
          </w:p>
        </w:tc>
      </w:tr>
      <w:tr>
        <w:tc>
          <w:tcPr>
            <w:tcW w:type="dxa" w:w="2200"/>
            <w:tcMar>
              <w:top w:type="dxa" w:w="80"/>
              <w:left w:type="dxa" w:w="100"/>
              <w:bottom w:type="dxa" w:w="80"/>
              <w:right w:type="dxa" w:w="100"/>
            </w:tcMar>
          </w:tcPr>
          <w:p>
            <w:pPr>
              <w:spacing w:line="260"/>
            </w:pPr>
            <w:r>
              <w:rPr>
                <w:rFonts w:ascii="Calibri" w:cs="Calibri" w:eastAsia="Calibri" w:hAnsi="Calibri"/>
                <w:b/>
                <w:bCs/>
                <w:color w:val="222222"/>
                <w:sz w:val="20"/>
                <w:szCs w:val="20"/>
              </w:rPr>
              <w:t xml:space="preserve">Woche 10, Tag 1–2</w:t>
            </w:r>
          </w:p>
        </w:tc>
        <w:tc>
          <w:tcPr>
            <w:tcW w:type="dxa" w:w="6826"/>
            <w:tcMar>
              <w:top w:type="dxa" w:w="80"/>
              <w:left w:type="dxa" w:w="100"/>
              <w:bottom w:type="dxa" w:w="80"/>
              <w:right w:type="dxa" w:w="100"/>
            </w:tcMar>
          </w:tcPr>
          <w:p>
            <w:pPr>
              <w:spacing w:line="260"/>
            </w:pPr>
            <w:r>
              <w:rPr>
                <w:rFonts w:ascii="Calibri" w:cs="Calibri" w:eastAsia="Calibri" w:hAnsi="Calibri"/>
                <w:b w:val="false"/>
                <w:bCs w:val="false"/>
                <w:color w:val="222222"/>
                <w:sz w:val="20"/>
                <w:szCs w:val="20"/>
              </w:rPr>
              <w:t xml:space="preserve">Bestandsaufnahme: Welche Unterlagen habt ihr schon? Gliederung aufteilen, Lücken benennen.</w:t>
            </w:r>
          </w:p>
        </w:tc>
      </w:tr>
      <w:tr>
        <w:tc>
          <w:tcPr>
            <w:tcW w:type="dxa" w:w="2200"/>
            <w:shd w:fill="EEF5FB" w:val="clear"/>
            <w:tcMar>
              <w:top w:type="dxa" w:w="80"/>
              <w:left w:type="dxa" w:w="100"/>
              <w:bottom w:type="dxa" w:w="80"/>
              <w:right w:type="dxa" w:w="100"/>
            </w:tcMar>
          </w:tcPr>
          <w:p>
            <w:pPr>
              <w:spacing w:line="260"/>
            </w:pPr>
            <w:r>
              <w:rPr>
                <w:rFonts w:ascii="Calibri" w:cs="Calibri" w:eastAsia="Calibri" w:hAnsi="Calibri"/>
                <w:b/>
                <w:bCs/>
                <w:color w:val="222222"/>
                <w:sz w:val="20"/>
                <w:szCs w:val="20"/>
              </w:rPr>
              <w:t xml:space="preserve">Woche 10, Tag 3–4</w:t>
            </w:r>
          </w:p>
        </w:tc>
        <w:tc>
          <w:tcPr>
            <w:tcW w:type="dxa" w:w="6826"/>
            <w:shd w:fill="EEF5FB" w:val="clear"/>
            <w:tcMar>
              <w:top w:type="dxa" w:w="80"/>
              <w:left w:type="dxa" w:w="100"/>
              <w:bottom w:type="dxa" w:w="80"/>
              <w:right w:type="dxa" w:w="100"/>
            </w:tcMar>
          </w:tcPr>
          <w:p>
            <w:pPr>
              <w:spacing w:line="260"/>
            </w:pPr>
            <w:r>
              <w:rPr>
                <w:rFonts w:ascii="Calibri" w:cs="Calibri" w:eastAsia="Calibri" w:hAnsi="Calibri"/>
                <w:b w:val="false"/>
                <w:bCs w:val="false"/>
                <w:color w:val="222222"/>
                <w:sz w:val="20"/>
                <w:szCs w:val="20"/>
              </w:rPr>
              <w:t xml:space="preserve">Umgebung fertigstellen und Lücken schließen (fehlende Messungen nachholen!).</w:t>
            </w:r>
          </w:p>
        </w:tc>
      </w:tr>
      <w:tr>
        <w:tc>
          <w:tcPr>
            <w:tcW w:type="dxa" w:w="2200"/>
            <w:tcMar>
              <w:top w:type="dxa" w:w="80"/>
              <w:left w:type="dxa" w:w="100"/>
              <w:bottom w:type="dxa" w:w="80"/>
              <w:right w:type="dxa" w:w="100"/>
            </w:tcMar>
          </w:tcPr>
          <w:p>
            <w:pPr>
              <w:spacing w:line="260"/>
            </w:pPr>
            <w:r>
              <w:rPr>
                <w:rFonts w:ascii="Calibri" w:cs="Calibri" w:eastAsia="Calibri" w:hAnsi="Calibri"/>
                <w:b/>
                <w:bCs/>
                <w:color w:val="222222"/>
                <w:sz w:val="20"/>
                <w:szCs w:val="20"/>
              </w:rPr>
              <w:t xml:space="preserve">Woche 10, Tag 5</w:t>
            </w:r>
          </w:p>
        </w:tc>
        <w:tc>
          <w:tcPr>
            <w:tcW w:type="dxa" w:w="6826"/>
            <w:tcMar>
              <w:top w:type="dxa" w:w="80"/>
              <w:left w:type="dxa" w:w="100"/>
              <w:bottom w:type="dxa" w:w="80"/>
              <w:right w:type="dxa" w:w="100"/>
            </w:tcMar>
          </w:tcPr>
          <w:p>
            <w:pPr>
              <w:spacing w:line="260"/>
            </w:pPr>
            <w:r>
              <w:rPr>
                <w:rFonts w:ascii="Calibri" w:cs="Calibri" w:eastAsia="Calibri" w:hAnsi="Calibri"/>
                <w:b w:val="false"/>
                <w:bCs w:val="false"/>
                <w:color w:val="222222"/>
                <w:sz w:val="20"/>
                <w:szCs w:val="20"/>
              </w:rPr>
              <w:t xml:space="preserve">Zwischenstand beim Dozenten vorlegen – verbindlich, keine Note.</w:t>
            </w:r>
          </w:p>
        </w:tc>
      </w:tr>
      <w:tr>
        <w:tc>
          <w:tcPr>
            <w:tcW w:type="dxa" w:w="2200"/>
            <w:shd w:fill="EEF5FB" w:val="clear"/>
            <w:tcMar>
              <w:top w:type="dxa" w:w="80"/>
              <w:left w:type="dxa" w:w="100"/>
              <w:bottom w:type="dxa" w:w="80"/>
              <w:right w:type="dxa" w:w="100"/>
            </w:tcMar>
          </w:tcPr>
          <w:p>
            <w:pPr>
              <w:spacing w:line="260"/>
            </w:pPr>
            <w:r>
              <w:rPr>
                <w:rFonts w:ascii="Calibri" w:cs="Calibri" w:eastAsia="Calibri" w:hAnsi="Calibri"/>
                <w:b/>
                <w:bCs/>
                <w:color w:val="222222"/>
                <w:sz w:val="20"/>
                <w:szCs w:val="20"/>
              </w:rPr>
              <w:t xml:space="preserve">Woche 11, Tag 1–2</w:t>
            </w:r>
          </w:p>
        </w:tc>
        <w:tc>
          <w:tcPr>
            <w:tcW w:type="dxa" w:w="6826"/>
            <w:shd w:fill="EEF5FB" w:val="clear"/>
            <w:tcMar>
              <w:top w:type="dxa" w:w="80"/>
              <w:left w:type="dxa" w:w="100"/>
              <w:bottom w:type="dxa" w:w="80"/>
              <w:right w:type="dxa" w:w="100"/>
            </w:tcMar>
          </w:tcPr>
          <w:p>
            <w:pPr>
              <w:spacing w:line="260"/>
            </w:pPr>
            <w:r>
              <w:rPr>
                <w:rFonts w:ascii="Calibri" w:cs="Calibri" w:eastAsia="Calibri" w:hAnsi="Calibri"/>
                <w:b w:val="false"/>
                <w:bCs w:val="false"/>
                <w:color w:val="222222"/>
                <w:sz w:val="20"/>
                <w:szCs w:val="20"/>
              </w:rPr>
              <w:t xml:space="preserve">Handbuch fertigstellen, Korrekturlesen im Tausch mit einer anderen Gruppe.</w:t>
            </w:r>
          </w:p>
        </w:tc>
      </w:tr>
      <w:tr>
        <w:tc>
          <w:tcPr>
            <w:tcW w:type="dxa" w:w="2200"/>
            <w:tcMar>
              <w:top w:type="dxa" w:w="80"/>
              <w:left w:type="dxa" w:w="100"/>
              <w:bottom w:type="dxa" w:w="80"/>
              <w:right w:type="dxa" w:w="100"/>
            </w:tcMar>
          </w:tcPr>
          <w:p>
            <w:pPr>
              <w:spacing w:line="260"/>
            </w:pPr>
            <w:r>
              <w:rPr>
                <w:rFonts w:ascii="Calibri" w:cs="Calibri" w:eastAsia="Calibri" w:hAnsi="Calibri"/>
                <w:b/>
                <w:bCs/>
                <w:color w:val="222222"/>
                <w:sz w:val="20"/>
                <w:szCs w:val="20"/>
              </w:rPr>
              <w:t xml:space="preserve">Woche 11, Tag 3</w:t>
            </w:r>
          </w:p>
        </w:tc>
        <w:tc>
          <w:tcPr>
            <w:tcW w:type="dxa" w:w="6826"/>
            <w:tcMar>
              <w:top w:type="dxa" w:w="80"/>
              <w:left w:type="dxa" w:w="100"/>
              <w:bottom w:type="dxa" w:w="80"/>
              <w:right w:type="dxa" w:w="100"/>
            </w:tcMar>
          </w:tcPr>
          <w:p>
            <w:pPr>
              <w:spacing w:line="260"/>
            </w:pPr>
            <w:r>
              <w:rPr>
                <w:rFonts w:ascii="Calibri" w:cs="Calibri" w:eastAsia="Calibri" w:hAnsi="Calibri"/>
                <w:b w:val="false"/>
                <w:bCs w:val="false"/>
                <w:color w:val="222222"/>
                <w:sz w:val="20"/>
                <w:szCs w:val="20"/>
              </w:rPr>
              <w:t xml:space="preserve">Abgabe des Handbuchs, Vorbereitung der Präsentation.</w:t>
            </w:r>
          </w:p>
        </w:tc>
      </w:tr>
      <w:tr>
        <w:tc>
          <w:tcPr>
            <w:tcW w:type="dxa" w:w="2200"/>
            <w:shd w:fill="EEF5FB" w:val="clear"/>
            <w:tcMar>
              <w:top w:type="dxa" w:w="80"/>
              <w:left w:type="dxa" w:w="100"/>
              <w:bottom w:type="dxa" w:w="80"/>
              <w:right w:type="dxa" w:w="100"/>
            </w:tcMar>
          </w:tcPr>
          <w:p>
            <w:pPr>
              <w:spacing w:line="260"/>
            </w:pPr>
            <w:r>
              <w:rPr>
                <w:rFonts w:ascii="Calibri" w:cs="Calibri" w:eastAsia="Calibri" w:hAnsi="Calibri"/>
                <w:b/>
                <w:bCs/>
                <w:color w:val="222222"/>
                <w:sz w:val="20"/>
                <w:szCs w:val="20"/>
              </w:rPr>
              <w:t xml:space="preserve">Woche 11, Tag 4</w:t>
            </w:r>
          </w:p>
        </w:tc>
        <w:tc>
          <w:tcPr>
            <w:tcW w:type="dxa" w:w="6826"/>
            <w:shd w:fill="EEF5FB" w:val="clear"/>
            <w:tcMar>
              <w:top w:type="dxa" w:w="80"/>
              <w:left w:type="dxa" w:w="100"/>
              <w:bottom w:type="dxa" w:w="80"/>
              <w:right w:type="dxa" w:w="100"/>
            </w:tcMar>
          </w:tcPr>
          <w:p>
            <w:pPr>
              <w:spacing w:line="260"/>
            </w:pPr>
            <w:r>
              <w:rPr>
                <w:rFonts w:ascii="Calibri" w:cs="Calibri" w:eastAsia="Calibri" w:hAnsi="Calibri"/>
                <w:b w:val="false"/>
                <w:bCs w:val="false"/>
                <w:color w:val="222222"/>
                <w:sz w:val="20"/>
                <w:szCs w:val="20"/>
              </w:rPr>
              <w:t xml:space="preserve">Präsentationen und Live-Demonstrationen.</w:t>
            </w:r>
          </w:p>
        </w:tc>
      </w:tr>
      <w:tr>
        <w:tc>
          <w:tcPr>
            <w:tcW w:type="dxa" w:w="2200"/>
            <w:tcMar>
              <w:top w:type="dxa" w:w="80"/>
              <w:left w:type="dxa" w:w="100"/>
              <w:bottom w:type="dxa" w:w="80"/>
              <w:right w:type="dxa" w:w="100"/>
            </w:tcMar>
          </w:tcPr>
          <w:p>
            <w:pPr>
              <w:spacing w:line="260"/>
            </w:pPr>
            <w:r>
              <w:rPr>
                <w:rFonts w:ascii="Calibri" w:cs="Calibri" w:eastAsia="Calibri" w:hAnsi="Calibri"/>
                <w:b/>
                <w:bCs/>
                <w:color w:val="222222"/>
                <w:sz w:val="20"/>
                <w:szCs w:val="20"/>
              </w:rPr>
              <w:t xml:space="preserve">Woche 11, Tag 5</w:t>
            </w:r>
          </w:p>
        </w:tc>
        <w:tc>
          <w:tcPr>
            <w:tcW w:type="dxa" w:w="6826"/>
            <w:tcMar>
              <w:top w:type="dxa" w:w="80"/>
              <w:left w:type="dxa" w:w="100"/>
              <w:bottom w:type="dxa" w:w="80"/>
              <w:right w:type="dxa" w:w="100"/>
            </w:tcMar>
          </w:tcPr>
          <w:p>
            <w:pPr>
              <w:spacing w:line="260"/>
            </w:pPr>
            <w:r>
              <w:rPr>
                <w:rFonts w:ascii="Calibri" w:cs="Calibri" w:eastAsia="Calibri" w:hAnsi="Calibri"/>
                <w:b w:val="false"/>
                <w:bCs w:val="false"/>
                <w:color w:val="222222"/>
                <w:sz w:val="20"/>
                <w:szCs w:val="20"/>
              </w:rPr>
              <w:t xml:space="preserve">Gesamtklausur, anschließend Modulabschluss und Feedback.</w:t>
            </w:r>
          </w:p>
        </w:tc>
      </w:tr>
    </w:tbl>
    <w:p>
      <w:pPr>
        <w:spacing w:after="140"/>
      </w:pPr>
    </w:p>
    <w:tbl>
      <w:tblPr>
        <w:tblW w:type="dxa" w:w="9026"/>
        <w:tblBorders>
          <w:top w:val="single" w:color="F0A500" w:sz="12"/>
          <w:left w:val="single" w:color="F0A500" w:sz="12"/>
          <w:bottom w:val="single" w:color="F0A500" w:sz="12"/>
          <w:right w:val="single" w:color="F0A500" w:sz="12"/>
          <w:insideH w:val="none" w:color="FFFFFF" w:sz="0"/>
          <w:insideV w:val="none" w:color="FFFFFF" w:sz="0"/>
        </w:tblBorders>
      </w:tblPr>
      <w:tblGrid>
        <w:gridCol w:w="9026"/>
      </w:tblGrid>
      <w:tr>
        <w:tc>
          <w:tcPr>
            <w:tcW w:type="dxa" w:w="9026"/>
            <w:shd w:fill="FFF4DC" w:val="clear"/>
            <w:tcMar>
              <w:top w:type="dxa" w:w="120"/>
              <w:left w:type="dxa" w:w="160"/>
              <w:bottom w:type="dxa" w:w="120"/>
              <w:right w:type="dxa" w:w="160"/>
            </w:tcMar>
          </w:tcPr>
          <w:p>
            <w:pPr>
              <w:spacing w:after="80"/>
            </w:pPr>
            <w:r>
              <w:rPr>
                <w:rFonts w:ascii="Calibri" w:cs="Calibri" w:eastAsia="Calibri" w:hAnsi="Calibri"/>
                <w:b/>
                <w:bCs/>
                <w:color w:val="003366"/>
                <w:sz w:val="22"/>
                <w:szCs w:val="22"/>
              </w:rPr>
              <w:t xml:space="preserve">Dozenten-Hinweis: Der Zwischenstand am Freitag der Woche 10 ist wichtig</w:t>
            </w:r>
          </w:p>
          <w:p>
            <w:pPr>
              <w:spacing w:after="60" w:line="276"/>
            </w:pPr>
            <w:r>
              <w:rPr>
                <w:rFonts w:ascii="Calibri" w:cs="Calibri" w:eastAsia="Calibri" w:hAnsi="Calibri"/>
                <w:color w:val="222222"/>
                <w:sz w:val="22"/>
                <w:szCs w:val="22"/>
              </w:rPr>
              <w:t xml:space="preserve">Erfahrungsgemäß stellen Gruppen erst beim Schreiben fest, dass Messwerte oder Screenshots fehlen – und dann ist die Umgebung schon halb abgebaut. Der verbindliche Zwischenstand zwingt sie, diese Lücke früh zu entdecken, solange noch Zeit zum Nachholen bleibt.</w:t>
            </w:r>
          </w:p>
        </w:tc>
      </w:tr>
    </w:tbl>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595959"/>
        <w:sz w:val="18"/>
        <w:szCs w:val="18"/>
      </w:rPr>
      <w:t xml:space="preserve">bfw Lübeck · Modul L · Capstone-Auftrag · Seite </w:t>
    </w:r>
    <w:r>
      <w:rPr>
        <w:rFonts w:ascii="Calibri" w:cs="Calibri" w:eastAsia="Calibri" w:hAnsi="Calibri"/>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00"/>
      </w:pPr>
    </w:lvl>
  </w:abstractNum>
  <w:abstractNum w:abstractNumId="3" w15:restartNumberingAfterBreak="0">
    <w:multiLevelType w:val="hybridMultilevel"/>
    <w:lvl w:ilvl="0" w15:tentative="1">
      <w:start w:val="1"/>
      <w:numFmt w:val="decimal"/>
      <w:lvlText w:val="%1."/>
      <w:lvlJc w:val="left"/>
      <w:pPr>
        <w:ind w:left="420" w:hanging="280"/>
      </w:pPr>
    </w:lvl>
  </w:abstractNum>
  <w:abstractNum w:abstractNumId="4" w15:restartNumberingAfterBreak="0">
    <w:multiLevelType w:val="hybridMultilevel"/>
    <w:lvl w:ilvl="0" w15:tentative="1">
      <w:start w:val="1"/>
      <w:numFmt w:val="decimal"/>
      <w:lvlText w:val="%1."/>
      <w:lvlJc w:val="left"/>
      <w:pPr>
        <w:ind w:left="420" w:hanging="28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2026-07-22T06:51:09.092Z</dcterms:created>
  <dcterms:modified xsi:type="dcterms:W3CDTF">2026-07-22T06:51:09.107Z</dcterms:modified>
</cp:coreProperties>
</file>

<file path=docProps/custom.xml><?xml version="1.0" encoding="utf-8"?>
<Properties xmlns="http://schemas.openxmlformats.org/officeDocument/2006/custom-properties" xmlns:vt="http://schemas.openxmlformats.org/officeDocument/2006/docPropsVTypes"/>
</file>