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3366"/>
          <w:sz w:val="40"/>
          <w:szCs w:val="40"/>
        </w:rPr>
        <w:t xml:space="preserve">Verfügbarkeit &amp; Redundanz</w:t>
      </w:r>
    </w:p>
    <w:p>
      <w:pPr>
        <w:spacing w:after="40"/>
      </w:pPr>
      <w:r>
        <w:rPr>
          <w:rFonts w:ascii="Calibri" w:cs="Calibri" w:eastAsia="Calibri" w:hAnsi="Calibri"/>
          <w:color w:val="0066AA"/>
          <w:sz w:val="26"/>
          <w:szCs w:val="26"/>
        </w:rPr>
        <w:t xml:space="preserve">Handout zur Etappe 1 · Modul L (Lernfeld 11)</w:t>
      </w:r>
    </w:p>
    <w:p>
      <w:pPr>
        <w:pBdr>
          <w:bottom w:val="single" w:color="F0A500" w:sz="12"/>
        </w:pBdr>
        <w:spacing w:after="240"/>
      </w:pPr>
      <w:r>
        <w:rPr>
          <w:rFonts w:ascii="Calibri" w:cs="Calibri" w:eastAsia="Calibri" w:hAnsi="Calibri"/>
          <w:color w:val="595959"/>
          <w:sz w:val="20"/>
          <w:szCs w:val="20"/>
        </w:rPr>
        <w:t xml:space="preserve">FISI · bfw Lübeck · Juli 2026</w:t>
      </w:r>
    </w:p>
    <w:p>
      <w:pPr>
        <w:pStyle w:val="Heading1"/>
        <w:pBdr>
          <w:bottom w:val="single" w:color="F0A500" w:sz="8"/>
        </w:pBdr>
        <w:spacing w:after="160" w:before="360"/>
      </w:pPr>
      <w:r>
        <w:rPr>
          <w:rFonts w:ascii="Calibri" w:cs="Calibri" w:eastAsia="Calibri" w:hAnsi="Calibri"/>
          <w:b/>
          <w:bCs/>
          <w:color w:val="003366"/>
          <w:sz w:val="30"/>
          <w:szCs w:val="30"/>
        </w:rPr>
        <w:t xml:space="preserve">1. Was bedeutet Verfügbarkeit?</w:t>
      </w:r>
    </w:p>
    <w:p>
      <w:pPr>
        <w:spacing w:after="140" w:line="276"/>
      </w:pPr>
      <w:r>
        <w:rPr>
          <w:rFonts w:ascii="Calibri" w:cs="Calibri" w:eastAsia="Calibri" w:hAnsi="Calibri"/>
          <w:b w:val="false"/>
          <w:bCs w:val="false"/>
          <w:i w:val="false"/>
          <w:iCs w:val="false"/>
          <w:color w:val="222222"/>
          <w:sz w:val="22"/>
          <w:szCs w:val="22"/>
        </w:rPr>
        <w:t xml:space="preserve">Verfügbarkeit beschreibt den Anteil der Zeit, in der ein System seine vereinbarte Funktion tatsächlich erfüllt. Sie wird als Prozentwert angegeben und berechnet sich aus dem Verhältnis der tatsächlichen Betriebszeit zur vereinbarten Gesamtzeit:</w:t>
      </w:r>
    </w:p>
    <w:p>
      <w:pPr>
        <w:spacing w:after="160" w:before="100"/>
        <w:jc w:val="center"/>
      </w:pPr>
      <w:r>
        <w:rPr>
          <w:rFonts w:ascii="Cambria" w:cs="Cambria" w:eastAsia="Cambria" w:hAnsi="Cambria"/>
          <w:b/>
          <w:bCs/>
          <w:color w:val="003366"/>
          <w:sz w:val="24"/>
          <w:szCs w:val="24"/>
        </w:rPr>
        <w:t xml:space="preserve">Verfügbarkeit = (Gesamtzeit − Ausfallzeit) / Gesamtzeit</w:t>
      </w:r>
    </w:p>
    <w:p>
      <w:pPr>
        <w:spacing w:after="140" w:line="276"/>
      </w:pPr>
      <w:r>
        <w:rPr>
          <w:rFonts w:ascii="Calibri" w:cs="Calibri" w:eastAsia="Calibri" w:hAnsi="Calibri"/>
          <w:b w:val="false"/>
          <w:bCs w:val="false"/>
          <w:i w:val="false"/>
          <w:iCs w:val="false"/>
          <w:color w:val="222222"/>
          <w:sz w:val="22"/>
          <w:szCs w:val="22"/>
        </w:rPr>
        <w:t xml:space="preserve">Entscheidend ist die Bezugsgröße: Gilt die Zusage rund um die Uhr (24/7) oder nur innerhalb einer vereinbarten Servicezeit? Ein Jahr im 24/7-Betrieb umfasst 365 Tage, also 8.760 Stunden oder 525.600 Minuten. Eine Servicezeit von Montag bis Freitag, 8 bis 18 Uhr, umfasst dagegen nur 10 Stunden an 5 Tagen in 52 Wochen, also 2.600 Stunden pro Jahr. Dieselbe Prozentzahl bedeutet je nach Bezugszeit völlig unterschiedliche erlaubte Ausfallzeiten – in Klausuraufgaben ist die Bezugszeit deshalb immer der erste Prüfpunkt.</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3000"/>
        <w:gridCol w:w="2600"/>
        <w:gridCol w:w="3426"/>
      </w:tblGrid>
      <w:tr>
        <w:trPr>
          <w:tblHeader/>
        </w:trPr>
        <w:tc>
          <w:tcPr>
            <w:tcW w:type="dxa" w:w="30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Verfügbarkeit</w:t>
            </w:r>
          </w:p>
        </w:tc>
        <w:tc>
          <w:tcPr>
            <w:tcW w:type="dxa" w:w="26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Klasse</w:t>
            </w:r>
          </w:p>
        </w:tc>
        <w:tc>
          <w:tcPr>
            <w:tcW w:type="dxa" w:w="3426"/>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Ausfallzeit pro Jahr (24/7)</w:t>
            </w:r>
          </w:p>
        </w:tc>
      </w:tr>
      <w:tr>
        <w:tc>
          <w:tcPr>
            <w:tcW w:type="dxa" w:w="30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99 %</w:t>
            </w:r>
          </w:p>
        </w:tc>
        <w:tc>
          <w:tcPr>
            <w:tcW w:type="dxa" w:w="26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2 Neunen</w:t>
            </w:r>
          </w:p>
        </w:tc>
        <w:tc>
          <w:tcPr>
            <w:tcW w:type="dxa" w:w="34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ca. 3,65 Tage (87,6 h)</w:t>
            </w:r>
          </w:p>
        </w:tc>
      </w:tr>
      <w:tr>
        <w:tc>
          <w:tcPr>
            <w:tcW w:type="dxa" w:w="30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99,9 %</w:t>
            </w:r>
          </w:p>
        </w:tc>
        <w:tc>
          <w:tcPr>
            <w:tcW w:type="dxa" w:w="26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3 Neunen</w:t>
            </w:r>
          </w:p>
        </w:tc>
        <w:tc>
          <w:tcPr>
            <w:tcW w:type="dxa" w:w="34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ca. 8,76 Stunden</w:t>
            </w:r>
          </w:p>
        </w:tc>
      </w:tr>
      <w:tr>
        <w:tc>
          <w:tcPr>
            <w:tcW w:type="dxa" w:w="30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99,99 %</w:t>
            </w:r>
          </w:p>
        </w:tc>
        <w:tc>
          <w:tcPr>
            <w:tcW w:type="dxa" w:w="26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4 Neunen</w:t>
            </w:r>
          </w:p>
        </w:tc>
        <w:tc>
          <w:tcPr>
            <w:tcW w:type="dxa" w:w="34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ca. 52,6 Minuten</w:t>
            </w:r>
          </w:p>
        </w:tc>
      </w:tr>
      <w:tr>
        <w:tc>
          <w:tcPr>
            <w:tcW w:type="dxa" w:w="30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99,999 %</w:t>
            </w:r>
          </w:p>
        </w:tc>
        <w:tc>
          <w:tcPr>
            <w:tcW w:type="dxa" w:w="26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5 Neunen</w:t>
            </w:r>
          </w:p>
        </w:tc>
        <w:tc>
          <w:tcPr>
            <w:tcW w:type="dxa" w:w="34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ca. 5,26 Minuten</w:t>
            </w:r>
          </w:p>
        </w:tc>
      </w:tr>
    </w:tbl>
    <w:p>
      <w:pPr>
        <w:spacing w:after="60" w:line="276"/>
      </w:pPr>
      <w:r>
        <w:rPr>
          <w:rFonts w:ascii="Calibri" w:cs="Calibri" w:eastAsia="Calibri" w:hAnsi="Calibri"/>
          <w:b w:val="false"/>
          <w:bCs w:val="false"/>
          <w:i w:val="false"/>
          <w:iCs w:val="false"/>
          <w:color w:val="222222"/>
          <w:sz w:val="22"/>
          <w:szCs w:val="22"/>
        </w:rPr>
        <w:t xml:space="preserve"/>
      </w:r>
    </w:p>
    <w:p>
      <w:pPr>
        <w:spacing w:after="140" w:line="276"/>
      </w:pPr>
      <w:r>
        <w:rPr>
          <w:rFonts w:ascii="Calibri" w:cs="Calibri" w:eastAsia="Calibri" w:hAnsi="Calibri"/>
          <w:b w:val="false"/>
          <w:bCs w:val="false"/>
          <w:i w:val="false"/>
          <w:iCs w:val="false"/>
          <w:color w:val="222222"/>
          <w:sz w:val="22"/>
          <w:szCs w:val="22"/>
        </w:rPr>
        <w:t xml:space="preserve">Die Tabelle zeigt: Jede zusätzliche Neun reduziert die erlaubte Ausfallzeit etwa um den Faktor 10 – und erhöht den technischen und finanziellen Aufwand überproportional. Von 99,9 % auf 99,99 % zu kommen kann bedeuten, redundante Server, redundante Netzwerkpfade und eine zweite Stromversorgung aufzubauen.</w:t>
      </w:r>
    </w:p>
    <w:p>
      <w:pPr>
        <w:pStyle w:val="Heading1"/>
        <w:pBdr>
          <w:bottom w:val="single" w:color="F0A500" w:sz="8"/>
        </w:pBdr>
        <w:spacing w:after="160" w:before="360"/>
      </w:pPr>
      <w:r>
        <w:rPr>
          <w:rFonts w:ascii="Calibri" w:cs="Calibri" w:eastAsia="Calibri" w:hAnsi="Calibri"/>
          <w:b/>
          <w:bCs/>
          <w:color w:val="003366"/>
          <w:sz w:val="30"/>
          <w:szCs w:val="30"/>
        </w:rPr>
        <w:t xml:space="preserve">2. SLA – Verfügbarkeit als vertragliche Zusage</w:t>
      </w:r>
    </w:p>
    <w:p>
      <w:pPr>
        <w:spacing w:after="140" w:line="276"/>
      </w:pPr>
      <w:r>
        <w:rPr>
          <w:rFonts w:ascii="Calibri" w:cs="Calibri" w:eastAsia="Calibri" w:hAnsi="Calibri"/>
          <w:b w:val="false"/>
          <w:bCs w:val="false"/>
          <w:i w:val="false"/>
          <w:iCs w:val="false"/>
          <w:color w:val="222222"/>
          <w:sz w:val="22"/>
          <w:szCs w:val="22"/>
        </w:rPr>
        <w:t xml:space="preserve">Ein Service Level Agreement (SLA) ist eine Dienstgütevereinbarung zwischen Dienstleister und Kunde. Es macht Servicequalität messbar, typischerweise über Kennzahlen wie Verfügbarkeit in Prozent, Reaktionszeit (wie schnell wird mit der Bearbeitung begonnen?) und Wiederherstellungszeit (wann läuft der Dienst wieder?). Wird eine Zusage unterschritten, greifen häufig Vertragsstrafen, sogenannte Pönalen.</w:t>
      </w:r>
    </w:p>
    <w:p>
      <w:pPr>
        <w:spacing w:after="140" w:line="276"/>
      </w:pPr>
      <w:r>
        <w:rPr>
          <w:rFonts w:ascii="Calibri" w:cs="Calibri" w:eastAsia="Calibri" w:hAnsi="Calibri"/>
          <w:b w:val="false"/>
          <w:bCs w:val="false"/>
          <w:i w:val="false"/>
          <w:iCs w:val="false"/>
          <w:color w:val="222222"/>
          <w:sz w:val="22"/>
          <w:szCs w:val="22"/>
        </w:rPr>
        <w:t xml:space="preserve">Innerhalb der eigenen Organisation werden die zur Erfüllung eines SLA nötigen Zusagen zwischen Abteilungen als Operational Level Agreement (OLA) getroffen; Verträge mit externen Zulieferern heißen Underpinning Contract (UC). Für die Berechnung gilt immer: Die im SLA definierte Servicezeit ist die Bezugsbasis der Prozentangabe.</w:t>
      </w:r>
    </w:p>
    <w:tbl>
      <w:tblPr>
        <w:tblW w:type="dxa" w:w="9026"/>
        <w:tblBorders>
          <w:top w:val="single" w:color="0066AA" w:sz="12"/>
          <w:left w:val="single" w:color="0066AA" w:sz="12"/>
          <w:bottom w:val="single" w:color="0066AA" w:sz="12"/>
          <w:right w:val="single" w:color="0066AA" w:sz="12"/>
          <w:insideH w:val="none" w:color="FFFFFF" w:sz="0"/>
          <w:insideV w:val="none" w:color="FFFFFF" w:sz="0"/>
        </w:tblBorders>
      </w:tblPr>
      <w:tblGrid>
        <w:gridCol w:w="9026"/>
      </w:tblGrid>
      <w:tr>
        <w:tc>
          <w:tcPr>
            <w:tcW w:type="dxa" w:w="9026"/>
            <w:shd w:fill="EEF5FB"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Rechenbeispiel Servicezeit</w:t>
            </w:r>
          </w:p>
          <w:p>
            <w:pPr>
              <w:spacing w:after="60" w:line="276"/>
            </w:pPr>
            <w:r>
              <w:rPr>
                <w:rFonts w:ascii="Calibri" w:cs="Calibri" w:eastAsia="Calibri" w:hAnsi="Calibri"/>
                <w:color w:val="222222"/>
                <w:sz w:val="22"/>
                <w:szCs w:val="22"/>
              </w:rPr>
              <w:t xml:space="preserve">Zusage: 99,8 % Verfügbarkeit bei Servicezeit Mo–Fr, 8–18 Uhr.</w:t>
            </w:r>
          </w:p>
          <w:p>
            <w:pPr>
              <w:spacing w:after="60" w:line="276"/>
            </w:pPr>
            <w:r>
              <w:rPr>
                <w:rFonts w:ascii="Calibri" w:cs="Calibri" w:eastAsia="Calibri" w:hAnsi="Calibri"/>
                <w:color w:val="222222"/>
                <w:sz w:val="22"/>
                <w:szCs w:val="22"/>
              </w:rPr>
              <w:t xml:space="preserve">Servicezeit pro Jahr: 10 h × 5 Tage × 52 Wochen = 2.600 h.</w:t>
            </w:r>
          </w:p>
          <w:p>
            <w:pPr>
              <w:spacing w:after="60" w:line="276"/>
            </w:pPr>
            <w:r>
              <w:rPr>
                <w:rFonts w:ascii="Calibri" w:cs="Calibri" w:eastAsia="Calibri" w:hAnsi="Calibri"/>
                <w:color w:val="222222"/>
                <w:sz w:val="22"/>
                <w:szCs w:val="22"/>
              </w:rPr>
              <w:t xml:space="preserve">Erlaubte Ausfallzeit: 2.600 h × 0,002 = 5,2 h = 5 h 12 min pro Jahr – innerhalb der Servicezeit. Ausfälle am Wochenende zählen nicht gegen das SLA.</w:t>
            </w:r>
          </w:p>
        </w:tc>
      </w:tr>
    </w:tbl>
    <w:p>
      <w:pPr>
        <w:pStyle w:val="Heading1"/>
        <w:pBdr>
          <w:bottom w:val="single" w:color="F0A500" w:sz="8"/>
        </w:pBdr>
        <w:spacing w:after="160" w:before="360"/>
      </w:pPr>
      <w:r>
        <w:rPr>
          <w:rFonts w:ascii="Calibri" w:cs="Calibri" w:eastAsia="Calibri" w:hAnsi="Calibri"/>
          <w:b/>
          <w:bCs/>
          <w:color w:val="003366"/>
          <w:sz w:val="30"/>
          <w:szCs w:val="30"/>
        </w:rPr>
        <w:t xml:space="preserve">3. MTBF, MTTR und MTTF</w:t>
      </w:r>
    </w:p>
    <w:p>
      <w:pPr>
        <w:spacing w:after="140" w:line="276"/>
      </w:pPr>
      <w:r>
        <w:rPr>
          <w:rFonts w:ascii="Calibri" w:cs="Calibri" w:eastAsia="Calibri" w:hAnsi="Calibri"/>
          <w:b w:val="false"/>
          <w:bCs w:val="false"/>
          <w:i w:val="false"/>
          <w:iCs w:val="false"/>
          <w:color w:val="222222"/>
          <w:sz w:val="22"/>
          <w:szCs w:val="22"/>
        </w:rPr>
        <w:t xml:space="preserve">Die Zuverlässigkeit von Komponenten und Systemen wird über drei Kennzahlen beschrieben. Die MTBF (Mean Time Between Failures) ist die mittlere Betriebszeit zwischen zwei Ausfällen eines reparierbaren Systems. Die MTTR (Mean Time To Repair) ist die mittlere Zeit, die die Wiederherstellung nach einem Ausfall dauert – von der Fehlererkennung bis zum Wiederanlauf. Die MTTF (Mean Time To Failure) bezeichnet die mittlere Zeit bis zum Ausfall und wird für nicht reparierbare Komponenten verwendet, die nach dem Defekt getauscht werden.</w:t>
      </w:r>
    </w:p>
    <w:p>
      <w:pPr>
        <w:spacing w:after="140" w:line="276"/>
      </w:pPr>
      <w:r>
        <w:rPr>
          <w:rFonts w:ascii="Calibri" w:cs="Calibri" w:eastAsia="Calibri" w:hAnsi="Calibri"/>
          <w:b w:val="false"/>
          <w:bCs w:val="false"/>
          <w:i w:val="false"/>
          <w:iCs w:val="false"/>
          <w:color w:val="222222"/>
          <w:sz w:val="22"/>
          <w:szCs w:val="22"/>
        </w:rPr>
        <w:t xml:space="preserve">Aus MTBF und MTTR lässt sich die Verfügbarkeit direkt berechnen:</w:t>
      </w:r>
    </w:p>
    <w:p>
      <w:pPr>
        <w:spacing w:after="160" w:before="100"/>
        <w:jc w:val="center"/>
      </w:pPr>
      <w:r>
        <w:rPr>
          <w:rFonts w:ascii="Cambria" w:cs="Cambria" w:eastAsia="Cambria" w:hAnsi="Cambria"/>
          <w:b/>
          <w:bCs/>
          <w:color w:val="003366"/>
          <w:sz w:val="24"/>
          <w:szCs w:val="24"/>
        </w:rPr>
        <w:t xml:space="preserve">A = MTBF / (MTBF + MTTR)</w:t>
      </w:r>
    </w:p>
    <w:p>
      <w:pPr>
        <w:spacing w:after="140" w:line="276"/>
      </w:pPr>
      <w:r>
        <w:rPr>
          <w:rFonts w:ascii="Calibri" w:cs="Calibri" w:eastAsia="Calibri" w:hAnsi="Calibri"/>
          <w:color w:val="222222"/>
          <w:sz w:val="22"/>
          <w:szCs w:val="22"/>
        </w:rPr>
        <w:t xml:space="preserve">Beispiel: Bei einer MTBF von 2.000 Stunden und einer MTTR von 8 Stunden ergibt sich A = 2.000 / 2.008 = 0,99602, also rund </w:t>
      </w:r>
      <w:r>
        <w:rPr>
          <w:rFonts w:ascii="Calibri" w:cs="Calibri" w:eastAsia="Calibri" w:hAnsi="Calibri"/>
          <w:b/>
          <w:bCs/>
          <w:color w:val="222222"/>
          <w:sz w:val="22"/>
          <w:szCs w:val="22"/>
        </w:rPr>
        <w:t xml:space="preserve">99,60 %</w:t>
      </w:r>
      <w:r>
        <w:rPr>
          <w:rFonts w:ascii="Calibri" w:cs="Calibri" w:eastAsia="Calibri" w:hAnsi="Calibri"/>
          <w:color w:val="222222"/>
          <w:sz w:val="22"/>
          <w:szCs w:val="22"/>
        </w:rPr>
        <w:t xml:space="preserve">. Für die Praxis wichtig: Die MTTR zu senken ist oft der günstigere Hebel als die MTBF zu erhöhen – Ersatzteile vor Ort, gutes Monitoring und dokumentierte Wiederanlaufpläne verkürzen die Wiederherstellung unmittelbar.</w:t>
      </w:r>
    </w:p>
    <w:p>
      <w:pPr>
        <w:pStyle w:val="Heading1"/>
        <w:pBdr>
          <w:bottom w:val="single" w:color="F0A500" w:sz="8"/>
        </w:pBdr>
        <w:spacing w:after="160" w:before="360"/>
      </w:pPr>
      <w:r>
        <w:rPr>
          <w:rFonts w:ascii="Calibri" w:cs="Calibri" w:eastAsia="Calibri" w:hAnsi="Calibri"/>
          <w:b/>
          <w:bCs/>
          <w:color w:val="003366"/>
          <w:sz w:val="30"/>
          <w:szCs w:val="30"/>
        </w:rPr>
        <w:t xml:space="preserve">4. Gesamtverfügbarkeit: Reihe und Parallel</w:t>
      </w:r>
    </w:p>
    <w:p>
      <w:pPr>
        <w:spacing w:after="140" w:line="276"/>
      </w:pPr>
      <w:r>
        <w:rPr>
          <w:rFonts w:ascii="Calibri" w:cs="Calibri" w:eastAsia="Calibri" w:hAnsi="Calibri"/>
          <w:b w:val="false"/>
          <w:bCs w:val="false"/>
          <w:i w:val="false"/>
          <w:iCs w:val="false"/>
          <w:color w:val="222222"/>
          <w:sz w:val="22"/>
          <w:szCs w:val="22"/>
        </w:rPr>
        <w:t xml:space="preserve">Reale Dienste hängen von mehreren Komponenten ab. Liegen Komponenten in Reihe (der Dienst funktioniert nur, wenn ALLE funktionieren – z. B. Firewall, Switch und Server in einer Kette), multiplizieren sich die Einzelverfügbarkeiten:</w:t>
      </w:r>
    </w:p>
    <w:p>
      <w:pPr>
        <w:spacing w:after="160" w:before="100"/>
        <w:jc w:val="center"/>
      </w:pPr>
      <w:r>
        <w:rPr>
          <w:rFonts w:ascii="Cambria" w:cs="Cambria" w:eastAsia="Cambria" w:hAnsi="Cambria"/>
          <w:b/>
          <w:bCs/>
          <w:color w:val="003366"/>
          <w:sz w:val="24"/>
          <w:szCs w:val="24"/>
        </w:rPr>
        <w:t xml:space="preserve">A_gesamt = A1 × A2 × …</w:t>
      </w:r>
    </w:p>
    <w:p>
      <w:pPr>
        <w:spacing w:after="140" w:line="276"/>
      </w:pPr>
      <w:r>
        <w:rPr>
          <w:rFonts w:ascii="Calibri" w:cs="Calibri" w:eastAsia="Calibri" w:hAnsi="Calibri"/>
          <w:b w:val="false"/>
          <w:bCs w:val="false"/>
          <w:i w:val="false"/>
          <w:iCs w:val="false"/>
          <w:color w:val="222222"/>
          <w:sz w:val="22"/>
          <w:szCs w:val="22"/>
        </w:rPr>
        <w:t xml:space="preserve">Beispiel: Firewall mit 99,9 % und Switch mit 99,5 % ergeben zusammen 0,999 × 0,995 = 0,994005, also nur noch 99,40 %. Eine Kette ist immer schlechter als ihr schwächstes Glied.</w:t>
      </w:r>
    </w:p>
    <w:p>
      <w:pPr>
        <w:spacing w:after="140" w:line="276"/>
      </w:pPr>
      <w:r>
        <w:rPr>
          <w:rFonts w:ascii="Calibri" w:cs="Calibri" w:eastAsia="Calibri" w:hAnsi="Calibri"/>
          <w:b w:val="false"/>
          <w:bCs w:val="false"/>
          <w:i w:val="false"/>
          <w:iCs w:val="false"/>
          <w:color w:val="222222"/>
          <w:sz w:val="22"/>
          <w:szCs w:val="22"/>
        </w:rPr>
        <w:t xml:space="preserve">Arbeiten Komponenten parallel (der Dienst funktioniert, solange MINDESTENS EINE funktioniert – z. B. zwei redundante Server), multiplizieren sich stattdessen die Ausfallwahrscheinlichkeiten:</w:t>
      </w:r>
    </w:p>
    <w:p>
      <w:pPr>
        <w:spacing w:after="160" w:before="100"/>
        <w:jc w:val="center"/>
      </w:pPr>
      <w:r>
        <w:rPr>
          <w:rFonts w:ascii="Cambria" w:cs="Cambria" w:eastAsia="Cambria" w:hAnsi="Cambria"/>
          <w:b/>
          <w:bCs/>
          <w:color w:val="003366"/>
          <w:sz w:val="24"/>
          <w:szCs w:val="24"/>
        </w:rPr>
        <w:t xml:space="preserve">A_gesamt = 1 − (1 − A1) × (1 − A2)</w:t>
      </w:r>
    </w:p>
    <w:p>
      <w:pPr>
        <w:spacing w:after="140" w:line="276"/>
      </w:pPr>
      <w:r>
        <w:rPr>
          <w:rFonts w:ascii="Calibri" w:cs="Calibri" w:eastAsia="Calibri" w:hAnsi="Calibri"/>
          <w:b w:val="false"/>
          <w:bCs w:val="false"/>
          <w:i w:val="false"/>
          <w:iCs w:val="false"/>
          <w:color w:val="222222"/>
          <w:sz w:val="22"/>
          <w:szCs w:val="22"/>
        </w:rPr>
        <w:t xml:space="preserve">Beispiel: Zwei Server mit je 99 % erreichen zusammen 1 − 0,01 × 0,01 = 0,9999, also 99,99 %. Redundanz hebt die Verfügbarkeit deutlich – genau das ist der rechnerische Kern jedes Redundanzkonzepts.</w:t>
      </w:r>
    </w:p>
    <w:p>
      <w:pPr>
        <w:pStyle w:val="Heading1"/>
        <w:pBdr>
          <w:bottom w:val="single" w:color="F0A500" w:sz="8"/>
        </w:pBdr>
        <w:spacing w:after="160" w:before="360"/>
      </w:pPr>
      <w:r>
        <w:rPr>
          <w:rFonts w:ascii="Calibri" w:cs="Calibri" w:eastAsia="Calibri" w:hAnsi="Calibri"/>
          <w:b/>
          <w:bCs/>
          <w:color w:val="003366"/>
          <w:sz w:val="30"/>
          <w:szCs w:val="30"/>
        </w:rPr>
        <w:t xml:space="preserve">5. RAID – Redundanz im Storage</w:t>
      </w:r>
    </w:p>
    <w:p>
      <w:pPr>
        <w:spacing w:after="140" w:line="276"/>
      </w:pPr>
      <w:r>
        <w:rPr>
          <w:rFonts w:ascii="Calibri" w:cs="Calibri" w:eastAsia="Calibri" w:hAnsi="Calibri"/>
          <w:b w:val="false"/>
          <w:bCs w:val="false"/>
          <w:i w:val="false"/>
          <w:iCs w:val="false"/>
          <w:color w:val="222222"/>
          <w:sz w:val="22"/>
          <w:szCs w:val="22"/>
        </w:rPr>
        <w:t xml:space="preserve">Ein RAID (Redundant Array of Independent Disks) fasst mehrere Festplatten zu einem logischen Verbund zusammen. Je nach Level stehen dabei Kapazität, Geschwindigkeit oder Ausfallsicherheit im Vordergrund:</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1300"/>
        <w:gridCol w:w="2400"/>
        <w:gridCol w:w="1500"/>
        <w:gridCol w:w="1900"/>
        <w:gridCol w:w="1926"/>
      </w:tblGrid>
      <w:tr>
        <w:trPr>
          <w:tblHeader/>
        </w:trPr>
        <w:tc>
          <w:tcPr>
            <w:tcW w:type="dxa" w:w="13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Level</w:t>
            </w:r>
          </w:p>
        </w:tc>
        <w:tc>
          <w:tcPr>
            <w:tcW w:type="dxa" w:w="24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Prinzip</w:t>
            </w:r>
          </w:p>
        </w:tc>
        <w:tc>
          <w:tcPr>
            <w:tcW w:type="dxa" w:w="15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Min. Platten</w:t>
            </w:r>
          </w:p>
        </w:tc>
        <w:tc>
          <w:tcPr>
            <w:tcW w:type="dxa" w:w="19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Nettokapazität</w:t>
            </w:r>
          </w:p>
        </w:tc>
        <w:tc>
          <w:tcPr>
            <w:tcW w:type="dxa" w:w="1926"/>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Ausfalltoleranz</w:t>
            </w:r>
          </w:p>
        </w:tc>
      </w:tr>
      <w:tr>
        <w:tc>
          <w:tcPr>
            <w:tcW w:type="dxa" w:w="13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RAID 0</w:t>
            </w:r>
          </w:p>
        </w:tc>
        <w:tc>
          <w:tcPr>
            <w:tcW w:type="dxa" w:w="24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Striping</w:t>
            </w:r>
          </w:p>
        </w:tc>
        <w:tc>
          <w:tcPr>
            <w:tcW w:type="dxa" w:w="15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2</w:t>
            </w:r>
          </w:p>
        </w:tc>
        <w:tc>
          <w:tcPr>
            <w:tcW w:type="dxa" w:w="19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100 %</w:t>
            </w:r>
          </w:p>
        </w:tc>
        <w:tc>
          <w:tcPr>
            <w:tcW w:type="dxa" w:w="1926"/>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keine</w:t>
            </w:r>
          </w:p>
        </w:tc>
      </w:tr>
      <w:tr>
        <w:tc>
          <w:tcPr>
            <w:tcW w:type="dxa" w:w="13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RAID 1</w:t>
            </w:r>
          </w:p>
        </w:tc>
        <w:tc>
          <w:tcPr>
            <w:tcW w:type="dxa" w:w="24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Spiegelung</w:t>
            </w:r>
          </w:p>
        </w:tc>
        <w:tc>
          <w:tcPr>
            <w:tcW w:type="dxa" w:w="15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2</w:t>
            </w:r>
          </w:p>
        </w:tc>
        <w:tc>
          <w:tcPr>
            <w:tcW w:type="dxa" w:w="19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50 %</w:t>
            </w:r>
          </w:p>
        </w:tc>
        <w:tc>
          <w:tcPr>
            <w:tcW w:type="dxa" w:w="19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1 Platte</w:t>
            </w:r>
          </w:p>
        </w:tc>
      </w:tr>
      <w:tr>
        <w:tc>
          <w:tcPr>
            <w:tcW w:type="dxa" w:w="13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RAID 5</w:t>
            </w:r>
          </w:p>
        </w:tc>
        <w:tc>
          <w:tcPr>
            <w:tcW w:type="dxa" w:w="24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Striping + Parität</w:t>
            </w:r>
          </w:p>
        </w:tc>
        <w:tc>
          <w:tcPr>
            <w:tcW w:type="dxa" w:w="15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3</w:t>
            </w:r>
          </w:p>
        </w:tc>
        <w:tc>
          <w:tcPr>
            <w:tcW w:type="dxa" w:w="19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(n−1)/n</w:t>
            </w:r>
          </w:p>
        </w:tc>
        <w:tc>
          <w:tcPr>
            <w:tcW w:type="dxa" w:w="19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1 Platte</w:t>
            </w:r>
          </w:p>
        </w:tc>
      </w:tr>
      <w:tr>
        <w:tc>
          <w:tcPr>
            <w:tcW w:type="dxa" w:w="13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RAID 6</w:t>
            </w:r>
          </w:p>
        </w:tc>
        <w:tc>
          <w:tcPr>
            <w:tcW w:type="dxa" w:w="24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Striping + doppelte Parität</w:t>
            </w:r>
          </w:p>
        </w:tc>
        <w:tc>
          <w:tcPr>
            <w:tcW w:type="dxa" w:w="15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4</w:t>
            </w:r>
          </w:p>
        </w:tc>
        <w:tc>
          <w:tcPr>
            <w:tcW w:type="dxa" w:w="19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(n−2)/n</w:t>
            </w:r>
          </w:p>
        </w:tc>
        <w:tc>
          <w:tcPr>
            <w:tcW w:type="dxa" w:w="19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2 Platten</w:t>
            </w:r>
          </w:p>
        </w:tc>
      </w:tr>
      <w:tr>
        <w:tc>
          <w:tcPr>
            <w:tcW w:type="dxa" w:w="13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RAID 10</w:t>
            </w:r>
          </w:p>
        </w:tc>
        <w:tc>
          <w:tcPr>
            <w:tcW w:type="dxa" w:w="24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Spiegelpaare + Striping</w:t>
            </w:r>
          </w:p>
        </w:tc>
        <w:tc>
          <w:tcPr>
            <w:tcW w:type="dxa" w:w="15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4</w:t>
            </w:r>
          </w:p>
        </w:tc>
        <w:tc>
          <w:tcPr>
            <w:tcW w:type="dxa" w:w="19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50 %</w:t>
            </w:r>
          </w:p>
        </w:tc>
        <w:tc>
          <w:tcPr>
            <w:tcW w:type="dxa" w:w="19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1 je Spiegelpaar</w:t>
            </w:r>
          </w:p>
        </w:tc>
      </w:tr>
    </w:tbl>
    <w:p>
      <w:pPr>
        <w:spacing w:after="60" w:line="276"/>
      </w:pPr>
      <w:r>
        <w:rPr>
          <w:rFonts w:ascii="Calibri" w:cs="Calibri" w:eastAsia="Calibri" w:hAnsi="Calibri"/>
          <w:b w:val="false"/>
          <w:bCs w:val="false"/>
          <w:i w:val="false"/>
          <w:iCs w:val="false"/>
          <w:color w:val="222222"/>
          <w:sz w:val="22"/>
          <w:szCs w:val="22"/>
        </w:rPr>
        <w:t xml:space="preserve"/>
      </w:r>
    </w:p>
    <w:p>
      <w:pPr>
        <w:spacing w:after="140" w:line="276"/>
      </w:pPr>
      <w:r>
        <w:rPr>
          <w:rFonts w:ascii="Calibri" w:cs="Calibri" w:eastAsia="Calibri" w:hAnsi="Calibri"/>
          <w:b w:val="false"/>
          <w:bCs w:val="false"/>
          <w:i w:val="false"/>
          <w:iCs w:val="false"/>
          <w:color w:val="222222"/>
          <w:sz w:val="22"/>
          <w:szCs w:val="22"/>
        </w:rPr>
        <w:t xml:space="preserve">RAID 0 verteilt die Daten ohne jede Redundanz auf alle Platten (Striping) – maximale Kapazität und Geschwindigkeit, aber der Ausfall EINER Platte zerstört den gesamten Verbund. RAID 1 spiegelt zwei Platten, RAID 5 verteilt Daten plus Paritätsinformationen (eine Platte darf ausfallen), RAID 6 nutzt doppelte Parität (zwei Platten dürfen ausfallen). RAID 10 kombiniert Spiegelpaare mit Striping: 50 % Nettokapazität, aber hohe Schreibleistung und schnelle Rebuilds – deshalb erste Wahl für Datenbanken und Virtualisierung.</w:t>
      </w:r>
    </w:p>
    <w:p>
      <w:pPr>
        <w:spacing w:after="140" w:line="276"/>
      </w:pPr>
      <w:r>
        <w:rPr>
          <w:rFonts w:ascii="Calibri" w:cs="Calibri" w:eastAsia="Calibri" w:hAnsi="Calibri"/>
          <w:color w:val="222222"/>
          <w:sz w:val="22"/>
          <w:szCs w:val="22"/>
        </w:rPr>
        <w:t xml:space="preserve">Rechenbeispiel mit 8 × 4 TB: RAID 5 = 7 × 4 = </w:t>
      </w:r>
      <w:r>
        <w:rPr>
          <w:rFonts w:ascii="Calibri" w:cs="Calibri" w:eastAsia="Calibri" w:hAnsi="Calibri"/>
          <w:b/>
          <w:bCs/>
          <w:color w:val="222222"/>
          <w:sz w:val="22"/>
          <w:szCs w:val="22"/>
        </w:rPr>
        <w:t xml:space="preserve">28 TB</w:t>
      </w:r>
      <w:r>
        <w:rPr>
          <w:rFonts w:ascii="Calibri" w:cs="Calibri" w:eastAsia="Calibri" w:hAnsi="Calibri"/>
          <w:color w:val="222222"/>
          <w:sz w:val="22"/>
          <w:szCs w:val="22"/>
        </w:rPr>
        <w:t xml:space="preserve">, RAID 6 = 6 × 4 = </w:t>
      </w:r>
      <w:r>
        <w:rPr>
          <w:rFonts w:ascii="Calibri" w:cs="Calibri" w:eastAsia="Calibri" w:hAnsi="Calibri"/>
          <w:b/>
          <w:bCs/>
          <w:color w:val="222222"/>
          <w:sz w:val="22"/>
          <w:szCs w:val="22"/>
        </w:rPr>
        <w:t xml:space="preserve">24 TB</w:t>
      </w:r>
      <w:r>
        <w:rPr>
          <w:rFonts w:ascii="Calibri" w:cs="Calibri" w:eastAsia="Calibri" w:hAnsi="Calibri"/>
          <w:color w:val="222222"/>
          <w:sz w:val="22"/>
          <w:szCs w:val="22"/>
        </w:rPr>
        <w:t xml:space="preserve">, RAID 10 = 4 × 4 = </w:t>
      </w:r>
      <w:r>
        <w:rPr>
          <w:rFonts w:ascii="Calibri" w:cs="Calibri" w:eastAsia="Calibri" w:hAnsi="Calibri"/>
          <w:b/>
          <w:bCs/>
          <w:color w:val="222222"/>
          <w:sz w:val="22"/>
          <w:szCs w:val="22"/>
        </w:rPr>
        <w:t xml:space="preserve">16 TB</w:t>
      </w:r>
      <w:r>
        <w:rPr>
          <w:rFonts w:ascii="Calibri" w:cs="Calibri" w:eastAsia="Calibri" w:hAnsi="Calibri"/>
          <w:color w:val="222222"/>
          <w:sz w:val="22"/>
          <w:szCs w:val="22"/>
        </w:rPr>
        <w:t xml:space="preserve"> Nettokapazität.</w:t>
      </w:r>
    </w:p>
    <w:tbl>
      <w:tblPr>
        <w:tblW w:type="dxa" w:w="9026"/>
        <w:tblBorders>
          <w:top w:val="single" w:color="0066AA" w:sz="12"/>
          <w:left w:val="single" w:color="0066AA" w:sz="12"/>
          <w:bottom w:val="single" w:color="0066AA" w:sz="12"/>
          <w:right w:val="single" w:color="0066AA" w:sz="12"/>
          <w:insideH w:val="none" w:color="FFFFFF" w:sz="0"/>
          <w:insideV w:val="none" w:color="FFFFFF" w:sz="0"/>
        </w:tblBorders>
      </w:tblPr>
      <w:tblGrid>
        <w:gridCol w:w="9026"/>
      </w:tblGrid>
      <w:tr>
        <w:tc>
          <w:tcPr>
            <w:tcW w:type="dxa" w:w="9026"/>
            <w:shd w:fill="EEF5FB" w:val="clear"/>
            <w:tcMar>
              <w:top w:type="dxa" w:w="120"/>
              <w:left w:type="dxa" w:w="160"/>
              <w:bottom w:type="dxa" w:w="120"/>
              <w:right w:type="dxa" w:w="160"/>
            </w:tcMar>
          </w:tcPr>
          <w:p>
            <w:pPr>
              <w:spacing w:after="80"/>
            </w:pPr>
            <w:r>
              <w:rPr>
                <w:rFonts w:ascii="Calibri" w:cs="Calibri" w:eastAsia="Calibri" w:hAnsi="Calibri"/>
                <w:b/>
                <w:bCs/>
                <w:color w:val="003366"/>
                <w:sz w:val="22"/>
                <w:szCs w:val="22"/>
              </w:rPr>
              <w:t xml:space="preserve">Zwei Klausur-Klassiker</w:t>
            </w:r>
          </w:p>
          <w:p>
            <w:pPr>
              <w:spacing w:after="60" w:line="276"/>
            </w:pPr>
            <w:r>
              <w:rPr>
                <w:rFonts w:ascii="Calibri" w:cs="Calibri" w:eastAsia="Calibri" w:hAnsi="Calibri"/>
                <w:color w:val="222222"/>
                <w:sz w:val="22"/>
                <w:szCs w:val="22"/>
              </w:rPr>
              <w:t xml:space="preserve">1. RAID ersetzt kein Backup: RAID schützt gegen Plattenausfall, nicht gegen versehentliches Löschen, Ransomware oder Brand.</w:t>
            </w:r>
          </w:p>
          <w:p>
            <w:pPr>
              <w:spacing w:after="60" w:line="276"/>
            </w:pPr>
            <w:r>
              <w:rPr>
                <w:rFonts w:ascii="Calibri" w:cs="Calibri" w:eastAsia="Calibri" w:hAnsi="Calibri"/>
                <w:color w:val="222222"/>
                <w:sz w:val="22"/>
                <w:szCs w:val="22"/>
              </w:rPr>
              <w:t xml:space="preserve">2. Auswahl begründen: In der AP2 genügt es nie, nur ein Level zu nennen – die Begründung über das Lastprofil (lese- vs. schreiblastig, Kapazitätsbedarf, Rebuild-Risiko) bringt die Punkte.</w:t>
            </w:r>
          </w:p>
        </w:tc>
      </w:tr>
    </w:tbl>
    <w:p>
      <w:pPr>
        <w:pStyle w:val="Heading1"/>
        <w:pBdr>
          <w:bottom w:val="single" w:color="F0A500" w:sz="8"/>
        </w:pBdr>
        <w:spacing w:after="160" w:before="360"/>
      </w:pPr>
      <w:r>
        <w:rPr>
          <w:rFonts w:ascii="Calibri" w:cs="Calibri" w:eastAsia="Calibri" w:hAnsi="Calibri"/>
          <w:b/>
          <w:bCs/>
          <w:color w:val="003366"/>
          <w:sz w:val="30"/>
          <w:szCs w:val="30"/>
        </w:rPr>
        <w:t xml:space="preserve">6. USV – unterbrechungsfreie Stromversorgung</w:t>
      </w:r>
    </w:p>
    <w:p>
      <w:pPr>
        <w:spacing w:after="140" w:line="276"/>
      </w:pPr>
      <w:r>
        <w:rPr>
          <w:rFonts w:ascii="Calibri" w:cs="Calibri" w:eastAsia="Calibri" w:hAnsi="Calibri"/>
          <w:b w:val="false"/>
          <w:bCs w:val="false"/>
          <w:i w:val="false"/>
          <w:iCs w:val="false"/>
          <w:color w:val="222222"/>
          <w:sz w:val="22"/>
          <w:szCs w:val="22"/>
        </w:rPr>
        <w:t xml:space="preserve">Eine USV überbrückt Stromausfälle und Spannungsstörungen, bis entweder ein Generator übernimmt oder die Systeme geordnet heruntergefahren sind. Nach IEC 62040-3 werden drei Klassen unterschieden:</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3200"/>
        <w:gridCol w:w="3226"/>
      </w:tblGrid>
      <w:tr>
        <w:trPr>
          <w:tblHeader/>
        </w:trPr>
        <w:tc>
          <w:tcPr>
            <w:tcW w:type="dxa" w:w="26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Typ (IEC 62040-3)</w:t>
            </w:r>
          </w:p>
        </w:tc>
        <w:tc>
          <w:tcPr>
            <w:tcW w:type="dxa" w:w="32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Funktionsweise</w:t>
            </w:r>
          </w:p>
        </w:tc>
        <w:tc>
          <w:tcPr>
            <w:tcW w:type="dxa" w:w="3226"/>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Einsatz</w:t>
            </w:r>
          </w:p>
        </w:tc>
      </w:tr>
      <w:tr>
        <w:tc>
          <w:tcPr>
            <w:tcW w:type="dxa" w:w="26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VFD (Offline/Standby)</w:t>
            </w:r>
          </w:p>
        </w:tc>
        <w:tc>
          <w:tcPr>
            <w:tcW w:type="dxa" w:w="32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schaltet erst bei Netzausfall auf Batterie um; kurze Umschaltlücke</w:t>
            </w:r>
          </w:p>
        </w:tc>
        <w:tc>
          <w:tcPr>
            <w:tcW w:type="dxa" w:w="32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Einzelarbeitsplatz, SOHO</w:t>
            </w:r>
          </w:p>
        </w:tc>
      </w:tr>
      <w:tr>
        <w:tc>
          <w:tcPr>
            <w:tcW w:type="dxa" w:w="26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VI (Line-Interactive)</w:t>
            </w:r>
          </w:p>
        </w:tc>
        <w:tc>
          <w:tcPr>
            <w:tcW w:type="dxa" w:w="3200"/>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glättet zusätzlich Spannungsschwankungen; minimale Umschaltlücke</w:t>
            </w:r>
          </w:p>
        </w:tc>
        <w:tc>
          <w:tcPr>
            <w:tcW w:type="dxa" w:w="32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kleine Serverräume</w:t>
            </w:r>
          </w:p>
        </w:tc>
      </w:tr>
      <w:tr>
        <w:tc>
          <w:tcPr>
            <w:tcW w:type="dxa" w:w="26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VFI (Online/Doppelwandler)</w:t>
            </w:r>
          </w:p>
        </w:tc>
        <w:tc>
          <w:tcPr>
            <w:tcW w:type="dxa" w:w="3200"/>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Last läuft dauerhaft über Gleich-/Wechselrichter; keine Umschaltlücke</w:t>
            </w:r>
          </w:p>
        </w:tc>
        <w:tc>
          <w:tcPr>
            <w:tcW w:type="dxa" w:w="32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Rechenzentrum, kritische Systeme</w:t>
            </w:r>
          </w:p>
        </w:tc>
      </w:tr>
    </w:tbl>
    <w:p>
      <w:pPr>
        <w:spacing w:after="60" w:line="276"/>
      </w:pPr>
      <w:r>
        <w:rPr>
          <w:rFonts w:ascii="Calibri" w:cs="Calibri" w:eastAsia="Calibri" w:hAnsi="Calibri"/>
          <w:b w:val="false"/>
          <w:bCs w:val="false"/>
          <w:i w:val="false"/>
          <w:iCs w:val="false"/>
          <w:color w:val="222222"/>
          <w:sz w:val="22"/>
          <w:szCs w:val="22"/>
        </w:rPr>
        <w:t xml:space="preserve"/>
      </w:r>
    </w:p>
    <w:p>
      <w:pPr>
        <w:spacing w:after="140" w:line="276"/>
      </w:pPr>
      <w:r>
        <w:rPr>
          <w:rFonts w:ascii="Calibri" w:cs="Calibri" w:eastAsia="Calibri" w:hAnsi="Calibri"/>
          <w:b w:val="false"/>
          <w:bCs w:val="false"/>
          <w:i w:val="false"/>
          <w:iCs w:val="false"/>
          <w:color w:val="222222"/>
          <w:sz w:val="22"/>
          <w:szCs w:val="22"/>
        </w:rPr>
        <w:t xml:space="preserve">Die Überbrückungszeit einer USV hängt von Batteriekapazität, Wirkungsgrad und angeschlossener Last ab:</w:t>
      </w:r>
    </w:p>
    <w:p>
      <w:pPr>
        <w:spacing w:after="160" w:before="100"/>
        <w:jc w:val="center"/>
      </w:pPr>
      <w:r>
        <w:rPr>
          <w:rFonts w:ascii="Cambria" w:cs="Cambria" w:eastAsia="Cambria" w:hAnsi="Cambria"/>
          <w:b/>
          <w:bCs/>
          <w:color w:val="003366"/>
          <w:sz w:val="24"/>
          <w:szCs w:val="24"/>
        </w:rPr>
        <w:t xml:space="preserve">t = (Batteriekapazität in Wh × Wirkungsgrad) / Last in W</w:t>
      </w:r>
    </w:p>
    <w:p>
      <w:pPr>
        <w:spacing w:after="140" w:line="276"/>
      </w:pPr>
      <w:r>
        <w:rPr>
          <w:rFonts w:ascii="Calibri" w:cs="Calibri" w:eastAsia="Calibri" w:hAnsi="Calibri"/>
          <w:b w:val="false"/>
          <w:bCs w:val="false"/>
          <w:i w:val="false"/>
          <w:iCs w:val="false"/>
          <w:color w:val="222222"/>
          <w:sz w:val="22"/>
          <w:szCs w:val="22"/>
        </w:rPr>
        <w:t xml:space="preserve">Beispiel: 1.200 Wh Batteriekapazität bei 90 % Wirkungsgrad und 600 W Last ergeben t = 1.200 × 0,9 / 600 = 1,8 Stunden, also 108 Minuten. Achtung bei den Einheiten: USV-Leistung wird oft in VA (Scheinleistung) angegeben. Die nutzbare Wirkleistung in Watt ergibt sich erst durch Multiplikation mit dem Leistungsfaktor – eine 1.500-VA-USV mit Leistungsfaktor 0,9 liefert maximal 1.350 W.</w:t>
      </w:r>
    </w:p>
    <w:p>
      <w:pPr>
        <w:pStyle w:val="Heading1"/>
        <w:pBdr>
          <w:bottom w:val="single" w:color="F0A500" w:sz="8"/>
        </w:pBdr>
        <w:spacing w:after="160" w:before="360"/>
      </w:pPr>
      <w:r>
        <w:rPr>
          <w:rFonts w:ascii="Calibri" w:cs="Calibri" w:eastAsia="Calibri" w:hAnsi="Calibri"/>
          <w:b/>
          <w:bCs/>
          <w:color w:val="003366"/>
          <w:sz w:val="30"/>
          <w:szCs w:val="30"/>
        </w:rPr>
        <w:t xml:space="preserve">7. Redundanzkonzepte: N+1 und 2N</w:t>
      </w:r>
    </w:p>
    <w:p>
      <w:pPr>
        <w:spacing w:after="140" w:line="276"/>
      </w:pPr>
      <w:r>
        <w:rPr>
          <w:rFonts w:ascii="Calibri" w:cs="Calibri" w:eastAsia="Calibri" w:hAnsi="Calibri"/>
          <w:b w:val="false"/>
          <w:bCs w:val="false"/>
          <w:i w:val="false"/>
          <w:iCs w:val="false"/>
          <w:color w:val="222222"/>
          <w:sz w:val="22"/>
          <w:szCs w:val="22"/>
        </w:rPr>
        <w:t xml:space="preserve">Redundanz wird nach dem Umfang der Reserve klassifiziert. N+1 bedeutet: Für den Bedarf von N Komponenten wird eine zusätzliche als Reserve vorgehalten. Beispiel: Eine Last von 2.400 W bei Netzteilen mit je 800 W erfordert N = 3 Netzteile; mit N+1 werden 4 verbaut – fällt eines aus, tragen die verbleibenden drei die volle Last. 2N bedeutet dagegen komplette Verdopplung, etwa zwei vollständig unabhängige Stromversorgungspfade bis hin zu getrennten Einspeisungen. 2N schützt auch gegen den Ausfall eines ganzen Pfades, kostet aber das Doppelte.</w:t>
      </w:r>
    </w:p>
    <w:p>
      <w:pPr>
        <w:spacing w:after="140" w:line="276"/>
      </w:pPr>
      <w:r>
        <w:rPr>
          <w:rFonts w:ascii="Calibri" w:cs="Calibri" w:eastAsia="Calibri" w:hAnsi="Calibri"/>
          <w:b w:val="false"/>
          <w:bCs w:val="false"/>
          <w:i w:val="false"/>
          <w:iCs w:val="false"/>
          <w:color w:val="222222"/>
          <w:sz w:val="22"/>
          <w:szCs w:val="22"/>
        </w:rPr>
        <w:t xml:space="preserve">Cluster übertragen dasselbe Prinzip auf Server: Mehrere Knoten stellen einen Dienst gemeinsam bereit, sodass der Ausfall eines Knotens kompensiert wird. Wie das technisch funktioniert (Quorum, Failover, Live-Migration), bauen wir in Hälfte 2 dieses Moduls selbst auf.</w:t>
      </w:r>
    </w:p>
    <w:p>
      <w:pPr>
        <w:pStyle w:val="Heading1"/>
        <w:pBdr>
          <w:bottom w:val="single" w:color="F0A500" w:sz="8"/>
        </w:pBdr>
        <w:spacing w:after="160" w:before="360"/>
      </w:pPr>
      <w:r>
        <w:rPr>
          <w:rFonts w:ascii="Calibri" w:cs="Calibri" w:eastAsia="Calibri" w:hAnsi="Calibri"/>
          <w:b/>
          <w:bCs/>
          <w:color w:val="003366"/>
          <w:sz w:val="30"/>
          <w:szCs w:val="30"/>
        </w:rPr>
        <w:t xml:space="preserve">8. Abkürzungsverzeichnis</w:t>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2200"/>
        <w:gridCol w:w="6826"/>
      </w:tblGrid>
      <w:tr>
        <w:trPr>
          <w:tblHeader/>
        </w:trPr>
        <w:tc>
          <w:tcPr>
            <w:tcW w:type="dxa" w:w="2200"/>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Abkürzung</w:t>
            </w:r>
          </w:p>
        </w:tc>
        <w:tc>
          <w:tcPr>
            <w:tcW w:type="dxa" w:w="6826"/>
            <w:shd w:fill="003366" w:val="clear"/>
            <w:tcMar>
              <w:top w:type="dxa" w:w="80"/>
              <w:left w:type="dxa" w:w="100"/>
              <w:bottom w:type="dxa" w:w="80"/>
              <w:right w:type="dxa" w:w="100"/>
            </w:tcMar>
          </w:tcPr>
          <w:p>
            <w:r>
              <w:rPr>
                <w:rFonts w:ascii="Calibri" w:cs="Calibri" w:eastAsia="Calibri" w:hAnsi="Calibri"/>
                <w:b/>
                <w:bCs/>
                <w:color w:val="FFFFFF"/>
                <w:sz w:val="21"/>
                <w:szCs w:val="21"/>
              </w:rPr>
              <w:t xml:space="preserve">Bedeutung</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MTBF</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Mean Time Between Failures – mittlere Betriebszeit zwischen zwei Ausfällen</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MTTF</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Mean Time To Failure – mittlere Zeit bis zum Ausfall (nicht reparierbare Komponenten)</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MTTR</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Mean Time To Repair – mittlere Reparatur-/Wiederherstellungszeit</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OLA</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Operational Level Agreement – internes Dienstgüteabkommen</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RAID</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Redundant Array of Independent Disks – Verbund unabhängiger Festplatten</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SLA</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Service Level Agreement – Dienstgütevereinbarung mit dem Kunden</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SOHO</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Small Office / Home Office – Klein- und Heimbüro</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UC</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Underpinning Contract – Vertrag mit externem Zulieferer</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USV</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Unterbrechungsfreie Stromversorgung</w:t>
            </w:r>
          </w:p>
        </w:tc>
      </w:tr>
      <w:tr>
        <w:tc>
          <w:tcPr>
            <w:tcW w:type="dxa" w:w="2200"/>
            <w:shd w:fill="EEF5FB" w:val="clear"/>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VA</w:t>
            </w:r>
          </w:p>
        </w:tc>
        <w:tc>
          <w:tcPr>
            <w:tcW w:type="dxa" w:w="6826"/>
            <w:shd w:fill="EEF5FB" w:val="clear"/>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Voltampere – Einheit der Scheinleistung</w:t>
            </w:r>
          </w:p>
        </w:tc>
      </w:tr>
      <w:tr>
        <w:tc>
          <w:tcPr>
            <w:tcW w:type="dxa" w:w="2200"/>
            <w:tcMar>
              <w:top w:type="dxa" w:w="80"/>
              <w:left w:type="dxa" w:w="100"/>
              <w:bottom w:type="dxa" w:w="80"/>
              <w:right w:type="dxa" w:w="100"/>
            </w:tcMar>
          </w:tcPr>
          <w:p>
            <w:pPr>
              <w:spacing w:after="0" w:line="260"/>
            </w:pPr>
            <w:r>
              <w:rPr>
                <w:rFonts w:ascii="Calibri" w:cs="Calibri" w:eastAsia="Calibri" w:hAnsi="Calibri"/>
                <w:b/>
                <w:bCs/>
                <w:color w:val="222222"/>
                <w:sz w:val="20"/>
                <w:szCs w:val="20"/>
              </w:rPr>
              <w:t xml:space="preserve">VFD / VI / VFI</w:t>
            </w:r>
          </w:p>
        </w:tc>
        <w:tc>
          <w:tcPr>
            <w:tcW w:type="dxa" w:w="6826"/>
            <w:tcMar>
              <w:top w:type="dxa" w:w="80"/>
              <w:left w:type="dxa" w:w="100"/>
              <w:bottom w:type="dxa" w:w="80"/>
              <w:right w:type="dxa" w:w="100"/>
            </w:tcMar>
          </w:tcPr>
          <w:p>
            <w:pPr>
              <w:spacing w:after="0" w:line="260"/>
            </w:pPr>
            <w:r>
              <w:rPr>
                <w:rFonts w:ascii="Calibri" w:cs="Calibri" w:eastAsia="Calibri" w:hAnsi="Calibri"/>
                <w:b w:val="false"/>
                <w:bCs w:val="false"/>
                <w:color w:val="222222"/>
                <w:sz w:val="20"/>
                <w:szCs w:val="20"/>
              </w:rPr>
              <w:t xml:space="preserve">Voltage and Frequency Dependent / Voltage Independent / Voltage and Frequency Independent – USV-Klassen nach IEC 62040-3</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E1 Verfügbarkeit &amp; Redundanz · Handout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2026-07-03T03:44:41.474Z</dcterms:created>
  <dcterms:modified xsi:type="dcterms:W3CDTF">2026-07-03T03:44:41.474Z</dcterms:modified>
</cp:coreProperties>
</file>

<file path=docProps/custom.xml><?xml version="1.0" encoding="utf-8"?>
<Properties xmlns="http://schemas.openxmlformats.org/officeDocument/2006/custom-properties" xmlns:vt="http://schemas.openxmlformats.org/officeDocument/2006/docPropsVTypes"/>
</file>