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0066AA"/>
          <w:sz w:val="18"/>
          <w:szCs w:val="18"/>
        </w:rPr>
        <w:t xml:space="preserve">MODUL K · ANHANG · LF9-VERTIEFUNG (FISI)</w:t>
      </w:r>
    </w:p>
    <w:p>
      <w:pPr>
        <w:spacing w:after="40"/>
      </w:pPr>
      <w:r>
        <w:rPr>
          <w:rFonts w:ascii="Calibri" w:cs="Calibri" w:eastAsia="Calibri" w:hAnsi="Calibri"/>
          <w:b/>
          <w:bCs/>
          <w:color w:val="003366"/>
          <w:sz w:val="34"/>
          <w:szCs w:val="34"/>
        </w:rPr>
        <w:t xml:space="preserve">Handout — Etappe 8: STP &amp; NDP im Detail</w:t>
      </w:r>
    </w:p>
    <w:p>
      <w:pPr>
        <w:pBdr>
          <w:bottom w:val="single" w:color="F0A500" w:sz="8" w:space="6"/>
        </w:pBdr>
        <w:spacing w:after="60"/>
      </w:pPr>
      <w:r>
        <w:rPr>
          <w:rFonts w:ascii="Calibri" w:cs="Calibri" w:eastAsia="Calibri" w:hAnsi="Calibri"/>
          <w:color w:val="5A6B7B"/>
          <w:sz w:val="23"/>
          <w:szCs w:val="23"/>
        </w:rPr>
        <w:t xml:space="preserve">Spanning Tree Protocol und IPv6 Neighbor Discovery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D6E4F0" w:sz="1"/>
              <w:left w:val="single" w:color="D6E4F0" w:sz="1"/>
              <w:bottom w:val="single" w:color="D6E4F0" w:sz="1"/>
              <w:right w:val="single" w:color="D6E4F0" w:sz="1"/>
            </w:tcBorders>
            <w:shd w:fill="D6E4F0" w:val="clear"/>
            <w:tcMar>
              <w:top w:type="dxa" w:w="120"/>
              <w:left w:type="dxa" w:w="160"/>
              <w:bottom w:type="dxa" w:w="120"/>
              <w:right w:type="dxa" w:w="160"/>
            </w:tcMar>
          </w:tcPr>
          <w:p>
            <w:pPr>
              <w:spacing w:after="60"/>
            </w:pPr>
            <w:r>
              <w:rPr>
                <w:rFonts w:ascii="Calibri" w:cs="Calibri" w:eastAsia="Calibri" w:hAnsi="Calibri"/>
                <w:b/>
                <w:bCs/>
                <w:color w:val="003366"/>
                <w:sz w:val="22"/>
                <w:szCs w:val="22"/>
              </w:rPr>
              <w:t xml:space="preserve">Einordnung</w:t>
            </w:r>
          </w:p>
          <w:p>
            <w:pPr>
              <w:spacing w:after="40" w:line="264"/>
            </w:pPr>
            <w:r>
              <w:rPr>
                <w:rFonts w:ascii="Calibri" w:cs="Calibri" w:eastAsia="Calibri" w:hAnsi="Calibri"/>
                <w:color w:val="1A1A1A"/>
                <w:sz w:val="21"/>
                <w:szCs w:val="21"/>
              </w:rPr>
              <w:t xml:space="preserve">STP und NDP sind Lernfeld-9-Themen (Netzwerke), keine Serverdienste. Dieser Anhang vertieft sie für die FISI-Fachrichtung als Ergänzung zu Modul J — er gehört didaktisch zu Modul K, ist aber bewusst als LF9-Vertiefung gekennzeichnet.</w:t>
            </w:r>
          </w:p>
        </w:tc>
      </w:tr>
    </w:tbl>
    <w:p>
      <w:pPr>
        <w:pStyle w:val="Heading1"/>
        <w:spacing w:after="140" w:before="320"/>
      </w:pPr>
      <w:r>
        <w:rPr>
          <w:rFonts w:ascii="Calibri" w:cs="Calibri" w:eastAsia="Calibri" w:hAnsi="Calibri"/>
          <w:b/>
          <w:bCs/>
          <w:color w:val="003366"/>
          <w:sz w:val="30"/>
          <w:szCs w:val="30"/>
        </w:rPr>
        <w:t xml:space="preserve">Lernziele</w:t>
      </w:r>
    </w:p>
    <w:p>
      <w:pPr>
        <w:spacing w:after="120" w:line="276"/>
      </w:pPr>
      <w:r>
        <w:rPr>
          <w:rFonts w:ascii="Calibri" w:cs="Calibri" w:eastAsia="Calibri" w:hAnsi="Calibri"/>
          <w:color w:val="1A1A1A"/>
          <w:sz w:val="22"/>
          <w:szCs w:val="22"/>
        </w:rPr>
        <w:t xml:space="preserve">Nach dieser Vertiefung können Sie …</w:t>
      </w:r>
    </w:p>
    <w:p>
      <w:pPr>
        <w:pStyle w:val="ListParagraph"/>
        <w:numPr>
          <w:ilvl w:val="0"/>
          <w:numId w:val="2"/>
        </w:numPr>
        <w:spacing w:after="70" w:line="270"/>
      </w:pPr>
      <w:r>
        <w:rPr>
          <w:rFonts w:ascii="Calibri" w:cs="Calibri" w:eastAsia="Calibri" w:hAnsi="Calibri"/>
          <w:color w:val="1A1A1A"/>
          <w:sz w:val="22"/>
          <w:szCs w:val="22"/>
        </w:rPr>
        <w:t xml:space="preserve">erklären, warum Layer-2-Schleifen gefährlich sind und wie STP sie verhindert,</w:t>
      </w:r>
    </w:p>
    <w:p>
      <w:pPr>
        <w:pStyle w:val="ListParagraph"/>
        <w:numPr>
          <w:ilvl w:val="0"/>
          <w:numId w:val="2"/>
        </w:numPr>
        <w:spacing w:after="70" w:line="270"/>
      </w:pPr>
      <w:r>
        <w:rPr>
          <w:rFonts w:ascii="Calibri" w:cs="Calibri" w:eastAsia="Calibri" w:hAnsi="Calibri"/>
          <w:color w:val="1A1A1A"/>
          <w:sz w:val="22"/>
          <w:szCs w:val="22"/>
        </w:rPr>
        <w:t xml:space="preserve">die Root-Bridge anhand der Bridge-ID bestimmen,</w:t>
      </w:r>
    </w:p>
    <w:p>
      <w:pPr>
        <w:pStyle w:val="ListParagraph"/>
        <w:numPr>
          <w:ilvl w:val="0"/>
          <w:numId w:val="2"/>
        </w:numPr>
        <w:spacing w:after="70" w:line="270"/>
      </w:pPr>
      <w:r>
        <w:rPr>
          <w:rFonts w:ascii="Calibri" w:cs="Calibri" w:eastAsia="Calibri" w:hAnsi="Calibri"/>
          <w:color w:val="1A1A1A"/>
          <w:sz w:val="22"/>
          <w:szCs w:val="22"/>
        </w:rPr>
        <w:t xml:space="preserve">Port-Rollen (Root, Designated, Blocking) und Port-Zustände zuordnen,</w:t>
      </w:r>
    </w:p>
    <w:p>
      <w:pPr>
        <w:pStyle w:val="ListParagraph"/>
        <w:numPr>
          <w:ilvl w:val="0"/>
          <w:numId w:val="2"/>
        </w:numPr>
        <w:spacing w:after="70" w:line="270"/>
      </w:pPr>
      <w:r>
        <w:rPr>
          <w:rFonts w:ascii="Calibri" w:cs="Calibri" w:eastAsia="Calibri" w:hAnsi="Calibri"/>
          <w:color w:val="1A1A1A"/>
          <w:sz w:val="22"/>
          <w:szCs w:val="22"/>
        </w:rPr>
        <w:t xml:space="preserve">den Ablauf der IPv6-Nachbarschaftserkennung (NDP) mit ihren fünf Nachrichten beschreiben,</w:t>
      </w:r>
    </w:p>
    <w:p>
      <w:pPr>
        <w:pStyle w:val="ListParagraph"/>
        <w:numPr>
          <w:ilvl w:val="0"/>
          <w:numId w:val="2"/>
        </w:numPr>
        <w:spacing w:after="70" w:line="270"/>
      </w:pPr>
      <w:r>
        <w:rPr>
          <w:rFonts w:ascii="Calibri" w:cs="Calibri" w:eastAsia="Calibri" w:hAnsi="Calibri"/>
          <w:color w:val="1A1A1A"/>
          <w:sz w:val="22"/>
          <w:szCs w:val="22"/>
        </w:rPr>
        <w:t xml:space="preserve">SLAAC und die Duplicate Address Detection (DAD) einordnen.</w:t>
      </w:r>
    </w:p>
    <w:p>
      <w:pPr>
        <w:pStyle w:val="Heading1"/>
        <w:spacing w:after="140" w:before="320"/>
      </w:pPr>
      <w:r>
        <w:rPr>
          <w:rFonts w:ascii="Calibri" w:cs="Calibri" w:eastAsia="Calibri" w:hAnsi="Calibri"/>
          <w:b/>
          <w:bCs/>
          <w:color w:val="003366"/>
          <w:sz w:val="30"/>
          <w:szCs w:val="30"/>
        </w:rPr>
        <w:t xml:space="preserve">Teil 1 — Spanning Tree Protocol (STP)</w:t>
      </w:r>
    </w:p>
    <w:p>
      <w:pPr>
        <w:pStyle w:val="Heading2"/>
        <w:spacing w:after="100" w:before="220"/>
      </w:pPr>
      <w:r>
        <w:rPr>
          <w:rFonts w:ascii="Calibri" w:cs="Calibri" w:eastAsia="Calibri" w:hAnsi="Calibri"/>
          <w:b/>
          <w:bCs/>
          <w:color w:val="0066AA"/>
          <w:sz w:val="25"/>
          <w:szCs w:val="25"/>
        </w:rPr>
        <w:t xml:space="preserve">1.1  Das Problem: Layer-2-Schleifen</w:t>
      </w:r>
    </w:p>
    <w:p>
      <w:pPr>
        <w:spacing w:after="120" w:line="276"/>
      </w:pPr>
      <w:r>
        <w:rPr>
          <w:rFonts w:ascii="Calibri" w:cs="Calibri" w:eastAsia="Calibri" w:hAnsi="Calibri"/>
          <w:color w:val="1A1A1A"/>
          <w:sz w:val="22"/>
          <w:szCs w:val="22"/>
        </w:rPr>
        <w:t xml:space="preserve">Redundante Verbindungen zwischen Switches erhöhen die Ausfallsicherheit, erzeugen aber Schleifen auf Schicht 2. Anders als IP kennt Ethernet kein TTL-Feld, das kreisende Frames nach einer gewissen Zeit verwirft. Die Folge ohne Schutz: Broadcasts kreisen endlos und vervielfachen sich (Broadcast-Sturm), die MAC-Adresstabellen werden instabil (MAC-Flapping), und das Netz bricht binnen Sekunden zusammen.</w:t>
      </w:r>
    </w:p>
    <w:p>
      <w:pPr>
        <w:pStyle w:val="Heading2"/>
        <w:spacing w:after="100" w:before="220"/>
      </w:pPr>
      <w:r>
        <w:rPr>
          <w:rFonts w:ascii="Calibri" w:cs="Calibri" w:eastAsia="Calibri" w:hAnsi="Calibri"/>
          <w:b/>
          <w:bCs/>
          <w:color w:val="0066AA"/>
          <w:sz w:val="25"/>
          <w:szCs w:val="25"/>
        </w:rPr>
        <w:t xml:space="preserve">1.2  Die Idee</w:t>
      </w:r>
    </w:p>
    <w:p>
      <w:pPr>
        <w:spacing w:after="120" w:line="276"/>
      </w:pPr>
      <w:r>
        <w:rPr>
          <w:rFonts w:ascii="Calibri" w:cs="Calibri" w:eastAsia="Calibri" w:hAnsi="Calibri"/>
          <w:color w:val="1A1A1A"/>
          <w:sz w:val="22"/>
          <w:szCs w:val="22"/>
        </w:rPr>
        <w:t xml:space="preserve">Das Spanning Tree Protocol (IEEE 802.1D) legt logisch einen schleifenfreien Baum über das physische Netz. Alle Kabel bleiben gesteckt, doch überflüssige Pfade werden logisch blockiert. Fällt ein aktiver Pfad aus, aktiviert STP einen zuvor blockierten als Ersatz. Dazu tauschen die Switches BPDUs (Bridge Protocol Data Units) aus. Der Aufbau erfolgt in drei Schritten: eine Root-Bridge wählen, je Switch den besten Weg zur Root finden (Root Port), überflüssige Ports blockieren.</w:t>
      </w:r>
    </w:p>
    <w:p>
      <w:pPr>
        <w:pStyle w:val="Heading2"/>
        <w:spacing w:after="100" w:before="220"/>
      </w:pPr>
      <w:r>
        <w:rPr>
          <w:rFonts w:ascii="Calibri" w:cs="Calibri" w:eastAsia="Calibri" w:hAnsi="Calibri"/>
          <w:b/>
          <w:bCs/>
          <w:color w:val="0066AA"/>
          <w:sz w:val="25"/>
          <w:szCs w:val="25"/>
        </w:rPr>
        <w:t xml:space="preserve">1.3  Root-Bridge-Wahl</w:t>
      </w:r>
    </w:p>
    <w:p>
      <w:pPr>
        <w:spacing w:after="120" w:line="276"/>
      </w:pPr>
      <w:r>
        <w:rPr>
          <w:rFonts w:ascii="Calibri" w:cs="Calibri" w:eastAsia="Calibri" w:hAnsi="Calibri"/>
          <w:color w:val="1A1A1A"/>
          <w:sz w:val="22"/>
          <w:szCs w:val="22"/>
        </w:rPr>
        <w:t xml:space="preserve">Die Root-Bridge ist der Wurzelpunkt des Baums. Maßgeblich ist die Bridge-ID (BID), die sich zusammensetzt aus der </w:t>
      </w:r>
      <w:r>
        <w:rPr>
          <w:rFonts w:ascii="Calibri" w:cs="Calibri" w:eastAsia="Calibri" w:hAnsi="Calibri"/>
          <w:b/>
          <w:bCs/>
          <w:color w:val="1A1A1A"/>
          <w:sz w:val="22"/>
          <w:szCs w:val="22"/>
        </w:rPr>
        <w:t xml:space="preserve">Priorität</w:t>
      </w:r>
      <w:r>
        <w:rPr>
          <w:rFonts w:ascii="Calibri" w:cs="Calibri" w:eastAsia="Calibri" w:hAnsi="Calibri"/>
          <w:color w:val="1A1A1A"/>
          <w:sz w:val="22"/>
          <w:szCs w:val="22"/>
        </w:rPr>
        <w:t xml:space="preserve"> (2 Byte, Standard 32768) und der </w:t>
      </w:r>
      <w:r>
        <w:rPr>
          <w:rFonts w:ascii="Calibri" w:cs="Calibri" w:eastAsia="Calibri" w:hAnsi="Calibri"/>
          <w:b/>
          <w:bCs/>
          <w:color w:val="1A1A1A"/>
          <w:sz w:val="22"/>
          <w:szCs w:val="22"/>
        </w:rPr>
        <w:t xml:space="preserve">MAC-Adresse</w:t>
      </w:r>
      <w:r>
        <w:rPr>
          <w:rFonts w:ascii="Calibri" w:cs="Calibri" w:eastAsia="Calibri" w:hAnsi="Calibri"/>
          <w:color w:val="1A1A1A"/>
          <w:sz w:val="22"/>
          <w:szCs w:val="22"/>
        </w:rPr>
        <w:t xml:space="preserve"> (6 Byte). Verglichen wird zuerst die Priorität; bei Gleichstand entscheidet die niedrigere MAC-Adresse. Die Bridge mit der insgesamt niedrigsten BID wird Root. Die Priorität lässt sich nur in Schritten von 4096 setzen (0, 4096, 8192 …), wodurch man gezielt einen bestimmten Switch zur Root macht.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Switch(config)# spanning-tree vlan 1 priority 4096   # diesen Switch bevorzugen</w:t>
            </w:r>
          </w:p>
          <w:p>
            <w:pPr>
              <w:spacing w:after="0" w:line="250"/>
            </w:pPr>
            <w:r>
              <w:rPr>
                <w:rFonts w:ascii="Consolas" w:cs="Consolas" w:eastAsia="Consolas" w:hAnsi="Consolas"/>
                <w:color w:val="D6E4F0"/>
                <w:sz w:val="19"/>
                <w:szCs w:val="19"/>
              </w:rPr>
              <w:t xml:space="preserve">Switch# show spanning-tree                          # Root-ID &amp; eigene BID prüfen</w:t>
            </w:r>
          </w:p>
        </w:tc>
      </w:tr>
    </w:tbl>
    <w:p>
      <w:pPr>
        <w:pStyle w:val="Heading2"/>
        <w:spacing w:after="100" w:before="220"/>
      </w:pPr>
      <w:r>
        <w:rPr>
          <w:rFonts w:ascii="Calibri" w:cs="Calibri" w:eastAsia="Calibri" w:hAnsi="Calibri"/>
          <w:b/>
          <w:bCs/>
          <w:color w:val="0066AA"/>
          <w:sz w:val="25"/>
          <w:szCs w:val="25"/>
        </w:rPr>
        <w:t xml:space="preserve">1.4  Port-Rollen &amp; Port-Zustände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rPr>
          <w:tblHeader/>
        </w:trPr>
        <w:tc>
          <w:tcPr>
            <w:tcW w:type="dxa" w:w="3000"/>
            <w:tcBorders>
              <w:top w:val="single" w:color="D6E4F0" w:sz="4"/>
              <w:left w:val="single" w:color="D6E4F0" w:sz="4"/>
              <w:bottom w:val="single" w:color="D6E4F0" w:sz="4"/>
              <w:right w:val="single" w:color="D6E4F0" w:sz="4"/>
            </w:tcBorders>
            <w:shd w:fill="003366" w:val="clear"/>
            <w:tcMar>
              <w:top w:type="dxa" w:w="80"/>
              <w:left w:type="dxa" w:w="120"/>
              <w:bottom w:type="dxa" w:w="80"/>
              <w:right w:type="dxa" w:w="120"/>
            </w:tcMar>
          </w:tcPr>
          <w:p>
            <w:r>
              <w:rPr>
                <w:rFonts w:ascii="Calibri" w:cs="Calibri" w:eastAsia="Calibri" w:hAnsi="Calibri"/>
                <w:b/>
                <w:bCs/>
                <w:color w:val="FFFFFF"/>
                <w:sz w:val="21"/>
                <w:szCs w:val="21"/>
              </w:rPr>
              <w:t xml:space="preserve">Port-Rolle</w:t>
            </w:r>
          </w:p>
        </w:tc>
        <w:tc>
          <w:tcPr>
            <w:tcW w:type="dxa" w:w="6026"/>
            <w:tcBorders>
              <w:top w:val="single" w:color="D6E4F0" w:sz="4"/>
              <w:left w:val="single" w:color="D6E4F0" w:sz="4"/>
              <w:bottom w:val="single" w:color="D6E4F0" w:sz="4"/>
              <w:right w:val="single" w:color="D6E4F0" w:sz="4"/>
            </w:tcBorders>
            <w:shd w:fill="003366" w:val="clear"/>
            <w:tcMar>
              <w:top w:type="dxa" w:w="80"/>
              <w:left w:type="dxa" w:w="120"/>
              <w:bottom w:type="dxa" w:w="80"/>
              <w:right w:type="dxa" w:w="120"/>
            </w:tcMar>
          </w:tcPr>
          <w:p>
            <w:r>
              <w:rPr>
                <w:rFonts w:ascii="Calibri" w:cs="Calibri" w:eastAsia="Calibri" w:hAnsi="Calibri"/>
                <w:b/>
                <w:bCs/>
                <w:color w:val="FFFFFF"/>
                <w:sz w:val="21"/>
                <w:szCs w:val="21"/>
              </w:rPr>
              <w:t xml:space="preserve">Bedeutung</w:t>
            </w:r>
          </w:p>
        </w:tc>
      </w:tr>
      <w:tr>
        <w:tc>
          <w:tcPr>
            <w:tcW w:type="dxa" w:w="30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Root Port (RP)</w:t>
            </w:r>
          </w:p>
        </w:tc>
        <w:tc>
          <w:tcPr>
            <w:tcW w:type="dxa" w:w="602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bester Weg zur Root-Bridge — je Nicht-Root-Switch genau einer</w:t>
            </w:r>
          </w:p>
        </w:tc>
      </w:tr>
      <w:tr>
        <w:tc>
          <w:tcPr>
            <w:tcW w:type="dxa" w:w="30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Designated Port (DP)</w:t>
            </w:r>
          </w:p>
        </w:tc>
        <w:tc>
          <w:tcPr>
            <w:tcW w:type="dxa" w:w="6026"/>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zuständiger Port je Netzsegment; alle Ports der Root sind DP</w:t>
            </w:r>
          </w:p>
        </w:tc>
      </w:tr>
      <w:tr>
        <w:tc>
          <w:tcPr>
            <w:tcW w:type="dxa" w:w="30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Blocking / Alternate</w:t>
            </w:r>
          </w:p>
        </w:tc>
        <w:tc>
          <w:tcPr>
            <w:tcW w:type="dxa" w:w="602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blockiert, um die Schleife zu verhindern (Reservepfad)</w:t>
            </w:r>
          </w:p>
        </w:tc>
      </w:tr>
    </w:tbl>
    <w:p>
      <w:pPr>
        <w:spacing w:after="60"/>
      </w:pPr>
    </w:p>
    <w:p>
      <w:pPr>
        <w:spacing w:after="120" w:line="276"/>
      </w:pPr>
      <w:r>
        <w:rPr>
          <w:rFonts w:ascii="Calibri" w:cs="Calibri" w:eastAsia="Calibri" w:hAnsi="Calibri"/>
          <w:color w:val="1A1A1A"/>
          <w:sz w:val="22"/>
          <w:szCs w:val="22"/>
        </w:rPr>
        <w:t xml:space="preserve">Die Port-Zustände im klassischen STP durchlaufen die Reihenfolge Blocking → Listening → Learning → Forwarding. Nur im Zustand Forwarding werden Nutzdaten weitergeleitet; der Durchlauf dauert klassisch etwa 30–50 Sekunden.</w:t>
      </w:r>
    </w:p>
    <w:p>
      <w:pPr>
        <w:pStyle w:val="Heading2"/>
        <w:spacing w:after="100" w:before="220"/>
      </w:pPr>
      <w:r>
        <w:rPr>
          <w:rFonts w:ascii="Calibri" w:cs="Calibri" w:eastAsia="Calibri" w:hAnsi="Calibri"/>
          <w:b/>
          <w:bCs/>
          <w:color w:val="0066AA"/>
          <w:sz w:val="25"/>
          <w:szCs w:val="25"/>
        </w:rPr>
        <w:t xml:space="preserve">1.5  Konvergenz, BPDU &amp; Pfadkosten</w:t>
      </w:r>
    </w:p>
    <w:p>
      <w:pPr>
        <w:spacing w:after="120" w:line="276"/>
      </w:pPr>
      <w:r>
        <w:rPr>
          <w:rFonts w:ascii="Calibri" w:cs="Calibri" w:eastAsia="Calibri" w:hAnsi="Calibri"/>
          <w:color w:val="1A1A1A"/>
          <w:sz w:val="22"/>
          <w:szCs w:val="22"/>
        </w:rPr>
        <w:t xml:space="preserve">BPDUs werden regelmäßig ausgetauscht (Hello-Time, Standard 2 s) und enthalten die Root-BID, die Pfadkosten und die Sender-BID. Als Konvergenz bezeichnet man die Zeit, bis sich nach einer Topologieänderung wieder ein stabiler Baum gebildet hat — beim klassischen STP 30–50 Sekunden. Der Root Port eines Switches ist der Port mit den niedrigsten Gesamt-Pfadkosten zur Root.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tcBorders>
              <w:top w:val="single" w:color="D6E4F0" w:sz="4"/>
              <w:left w:val="single" w:color="D6E4F0" w:sz="4"/>
              <w:bottom w:val="single" w:color="D6E4F0" w:sz="4"/>
              <w:right w:val="single" w:color="D6E4F0" w:sz="4"/>
            </w:tcBorders>
            <w:shd w:fill="003366" w:val="clear"/>
            <w:tcMar>
              <w:top w:type="dxa" w:w="80"/>
              <w:left w:type="dxa" w:w="120"/>
              <w:bottom w:type="dxa" w:w="80"/>
              <w:right w:type="dxa" w:w="120"/>
            </w:tcMar>
          </w:tcPr>
          <w:p>
            <w:r>
              <w:rPr>
                <w:rFonts w:ascii="Calibri" w:cs="Calibri" w:eastAsia="Calibri" w:hAnsi="Calibri"/>
                <w:b/>
                <w:bCs/>
                <w:color w:val="FFFFFF"/>
                <w:sz w:val="21"/>
                <w:szCs w:val="21"/>
              </w:rPr>
              <w:t xml:space="preserve">Bandbreite</w:t>
            </w:r>
          </w:p>
        </w:tc>
        <w:tc>
          <w:tcPr>
            <w:tcW w:type="dxa" w:w="4513"/>
            <w:tcBorders>
              <w:top w:val="single" w:color="D6E4F0" w:sz="4"/>
              <w:left w:val="single" w:color="D6E4F0" w:sz="4"/>
              <w:bottom w:val="single" w:color="D6E4F0" w:sz="4"/>
              <w:right w:val="single" w:color="D6E4F0" w:sz="4"/>
            </w:tcBorders>
            <w:shd w:fill="003366" w:val="clear"/>
            <w:tcMar>
              <w:top w:type="dxa" w:w="80"/>
              <w:left w:type="dxa" w:w="120"/>
              <w:bottom w:type="dxa" w:w="80"/>
              <w:right w:type="dxa" w:w="120"/>
            </w:tcMar>
          </w:tcPr>
          <w:p>
            <w:r>
              <w:rPr>
                <w:rFonts w:ascii="Calibri" w:cs="Calibri" w:eastAsia="Calibri" w:hAnsi="Calibri"/>
                <w:b/>
                <w:bCs/>
                <w:color w:val="FFFFFF"/>
                <w:sz w:val="21"/>
                <w:szCs w:val="21"/>
              </w:rPr>
              <w:t xml:space="preserve">Pfadkosten</w:t>
            </w:r>
          </w:p>
        </w:tc>
      </w:tr>
      <w:tr>
        <w:tc>
          <w:tcPr>
            <w:tcW w:type="dxa" w:w="4513"/>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10 Mbit/s</w:t>
            </w:r>
          </w:p>
        </w:tc>
        <w:tc>
          <w:tcPr>
            <w:tcW w:type="dxa" w:w="4513"/>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100</w:t>
            </w:r>
          </w:p>
        </w:tc>
      </w:tr>
      <w:tr>
        <w:tc>
          <w:tcPr>
            <w:tcW w:type="dxa" w:w="4513"/>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100 Mbit/s</w:t>
            </w:r>
          </w:p>
        </w:tc>
        <w:tc>
          <w:tcPr>
            <w:tcW w:type="dxa" w:w="4513"/>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19</w:t>
            </w:r>
          </w:p>
        </w:tc>
      </w:tr>
      <w:tr>
        <w:tc>
          <w:tcPr>
            <w:tcW w:type="dxa" w:w="4513"/>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1 Gbit/s</w:t>
            </w:r>
          </w:p>
        </w:tc>
        <w:tc>
          <w:tcPr>
            <w:tcW w:type="dxa" w:w="4513"/>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4</w:t>
            </w:r>
          </w:p>
        </w:tc>
      </w:tr>
      <w:tr>
        <w:tc>
          <w:tcPr>
            <w:tcW w:type="dxa" w:w="4513"/>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10 Gbit/s</w:t>
            </w:r>
          </w:p>
        </w:tc>
        <w:tc>
          <w:tcPr>
            <w:tcW w:type="dxa" w:w="4513"/>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2</w:t>
            </w:r>
          </w:p>
        </w:tc>
      </w:tr>
    </w:tbl>
    <w:p>
      <w:pPr>
        <w:spacing w:after="60"/>
      </w:pPr>
    </w:p>
    <w:p>
      <w:pPr>
        <w:pStyle w:val="Heading2"/>
        <w:spacing w:after="100" w:before="220"/>
      </w:pPr>
      <w:r>
        <w:rPr>
          <w:rFonts w:ascii="Calibri" w:cs="Calibri" w:eastAsia="Calibri" w:hAnsi="Calibri"/>
          <w:b/>
          <w:bCs/>
          <w:color w:val="0066AA"/>
          <w:sz w:val="25"/>
          <w:szCs w:val="25"/>
        </w:rPr>
        <w:t xml:space="preserve">1.6  RSTP</w:t>
      </w:r>
    </w:p>
    <w:p>
      <w:pPr>
        <w:spacing w:after="120" w:line="276"/>
      </w:pPr>
      <w:r>
        <w:rPr>
          <w:rFonts w:ascii="Calibri" w:cs="Calibri" w:eastAsia="Calibri" w:hAnsi="Calibri"/>
          <w:color w:val="1A1A1A"/>
          <w:sz w:val="22"/>
          <w:szCs w:val="22"/>
        </w:rPr>
        <w:t xml:space="preserve">Das Rapid Spanning Tree Protocol (IEEE 802.1w) ist der Nachfolger und konvergiert in Sekunden statt in 30–50 Sekunden. Es kennt weniger Port-Zustände (Discarding, Learning, Forwarding) und zusätzliche Port-Rollen (Alternate, Backup). RSTP ist abwärtskompatibel zu STP und heute der Standard.</w:t>
      </w:r>
    </w:p>
    <w:p>
      <w:pPr>
        <w:pStyle w:val="Heading1"/>
        <w:spacing w:after="140" w:before="320"/>
      </w:pPr>
      <w:r>
        <w:rPr>
          <w:rFonts w:ascii="Calibri" w:cs="Calibri" w:eastAsia="Calibri" w:hAnsi="Calibri"/>
          <w:b/>
          <w:bCs/>
          <w:color w:val="003366"/>
          <w:sz w:val="30"/>
          <w:szCs w:val="30"/>
        </w:rPr>
        <w:t xml:space="preserve">Teil 2 — IPv6 Neighbor Discovery (NDP)</w:t>
      </w:r>
    </w:p>
    <w:p>
      <w:pPr>
        <w:pStyle w:val="Heading2"/>
        <w:spacing w:after="100" w:before="220"/>
      </w:pPr>
      <w:r>
        <w:rPr>
          <w:rFonts w:ascii="Calibri" w:cs="Calibri" w:eastAsia="Calibri" w:hAnsi="Calibri"/>
          <w:b/>
          <w:bCs/>
          <w:color w:val="0066AA"/>
          <w:sz w:val="25"/>
          <w:szCs w:val="25"/>
        </w:rPr>
        <w:t xml:space="preserve">2.1  Was ist NDP?</w:t>
      </w:r>
    </w:p>
    <w:p>
      <w:pPr>
        <w:spacing w:after="120" w:line="276"/>
      </w:pPr>
      <w:r>
        <w:rPr>
          <w:rFonts w:ascii="Calibri" w:cs="Calibri" w:eastAsia="Calibri" w:hAnsi="Calibri"/>
          <w:color w:val="1A1A1A"/>
          <w:sz w:val="22"/>
          <w:szCs w:val="22"/>
        </w:rPr>
        <w:t xml:space="preserve">Das Neighbor Discovery Protocol ist die Nachbarschaftserkennung in IPv6. Es ersetzt ARP und übernimmt zusätzliche Aufgaben, die in IPv4 auf ARP, Teile von DHCP und ICMP-Redirect verteilt waren. NDP nutzt ICMPv6-Nachrichten (Typen 133–137) und arbeitet mit Multicast statt Broadcast, was effizienter ist. Seine Aufgaben sind die Adressauflösung, das Finden von Routern, die Adress-Autokonfiguration und die Prüfung der Erreichbarkeit von Nachbarn.</w:t>
      </w:r>
    </w:p>
    <w:p>
      <w:pPr>
        <w:pStyle w:val="Heading2"/>
        <w:spacing w:after="100" w:before="220"/>
      </w:pPr>
      <w:r>
        <w:rPr>
          <w:rFonts w:ascii="Calibri" w:cs="Calibri" w:eastAsia="Calibri" w:hAnsi="Calibri"/>
          <w:b/>
          <w:bCs/>
          <w:color w:val="0066AA"/>
          <w:sz w:val="25"/>
          <w:szCs w:val="25"/>
        </w:rPr>
        <w:t xml:space="preserve">2.2  Die fünf Nachrichten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1300"/>
        <w:gridCol w:w="4726"/>
      </w:tblGrid>
      <w:tr>
        <w:trPr>
          <w:tblHeader/>
        </w:trPr>
        <w:tc>
          <w:tcPr>
            <w:tcW w:type="dxa" w:w="3000"/>
            <w:tcBorders>
              <w:top w:val="single" w:color="D6E4F0" w:sz="4"/>
              <w:left w:val="single" w:color="D6E4F0" w:sz="4"/>
              <w:bottom w:val="single" w:color="D6E4F0" w:sz="4"/>
              <w:right w:val="single" w:color="D6E4F0" w:sz="4"/>
            </w:tcBorders>
            <w:shd w:fill="003366" w:val="clear"/>
            <w:tcMar>
              <w:top w:type="dxa" w:w="80"/>
              <w:left w:type="dxa" w:w="120"/>
              <w:bottom w:type="dxa" w:w="80"/>
              <w:right w:type="dxa" w:w="120"/>
            </w:tcMar>
          </w:tcPr>
          <w:p>
            <w:r>
              <w:rPr>
                <w:rFonts w:ascii="Calibri" w:cs="Calibri" w:eastAsia="Calibri" w:hAnsi="Calibri"/>
                <w:b/>
                <w:bCs/>
                <w:color w:val="FFFFFF"/>
                <w:sz w:val="21"/>
                <w:szCs w:val="21"/>
              </w:rPr>
              <w:t xml:space="preserve">Nachricht</w:t>
            </w:r>
          </w:p>
        </w:tc>
        <w:tc>
          <w:tcPr>
            <w:tcW w:type="dxa" w:w="1300"/>
            <w:tcBorders>
              <w:top w:val="single" w:color="D6E4F0" w:sz="4"/>
              <w:left w:val="single" w:color="D6E4F0" w:sz="4"/>
              <w:bottom w:val="single" w:color="D6E4F0" w:sz="4"/>
              <w:right w:val="single" w:color="D6E4F0" w:sz="4"/>
            </w:tcBorders>
            <w:shd w:fill="003366" w:val="clear"/>
            <w:tcMar>
              <w:top w:type="dxa" w:w="80"/>
              <w:left w:type="dxa" w:w="120"/>
              <w:bottom w:type="dxa" w:w="80"/>
              <w:right w:type="dxa" w:w="120"/>
            </w:tcMar>
          </w:tcPr>
          <w:p>
            <w:r>
              <w:rPr>
                <w:rFonts w:ascii="Calibri" w:cs="Calibri" w:eastAsia="Calibri" w:hAnsi="Calibri"/>
                <w:b/>
                <w:bCs/>
                <w:color w:val="FFFFFF"/>
                <w:sz w:val="21"/>
                <w:szCs w:val="21"/>
              </w:rPr>
              <w:t xml:space="preserve">Kürzel</w:t>
            </w:r>
          </w:p>
        </w:tc>
        <w:tc>
          <w:tcPr>
            <w:tcW w:type="dxa" w:w="4726"/>
            <w:tcBorders>
              <w:top w:val="single" w:color="D6E4F0" w:sz="4"/>
              <w:left w:val="single" w:color="D6E4F0" w:sz="4"/>
              <w:bottom w:val="single" w:color="D6E4F0" w:sz="4"/>
              <w:right w:val="single" w:color="D6E4F0" w:sz="4"/>
            </w:tcBorders>
            <w:shd w:fill="003366" w:val="clear"/>
            <w:tcMar>
              <w:top w:type="dxa" w:w="80"/>
              <w:left w:type="dxa" w:w="120"/>
              <w:bottom w:type="dxa" w:w="80"/>
              <w:right w:type="dxa" w:w="120"/>
            </w:tcMar>
          </w:tcPr>
          <w:p>
            <w:r>
              <w:rPr>
                <w:rFonts w:ascii="Calibri" w:cs="Calibri" w:eastAsia="Calibri" w:hAnsi="Calibri"/>
                <w:b/>
                <w:bCs/>
                <w:color w:val="FFFFFF"/>
                <w:sz w:val="21"/>
                <w:szCs w:val="21"/>
              </w:rPr>
              <w:t xml:space="preserve">Zweck</w:t>
            </w:r>
          </w:p>
        </w:tc>
      </w:tr>
      <w:tr>
        <w:tc>
          <w:tcPr>
            <w:tcW w:type="dxa" w:w="30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Router Solicitation</w:t>
            </w:r>
          </w:p>
        </w:tc>
        <w:tc>
          <w:tcPr>
            <w:tcW w:type="dxa" w:w="13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RS</w:t>
            </w:r>
          </w:p>
        </w:tc>
        <w:tc>
          <w:tcPr>
            <w:tcW w:type="dxa" w:w="472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Client fragt, ob ein Router vorhanden ist</w:t>
            </w:r>
          </w:p>
        </w:tc>
      </w:tr>
      <w:tr>
        <w:tc>
          <w:tcPr>
            <w:tcW w:type="dxa" w:w="30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Router Advertisement</w:t>
            </w:r>
          </w:p>
        </w:tc>
        <w:tc>
          <w:tcPr>
            <w:tcW w:type="dxa" w:w="13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RA</w:t>
            </w:r>
          </w:p>
        </w:tc>
        <w:tc>
          <w:tcPr>
            <w:tcW w:type="dxa" w:w="4726"/>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Router antwortet mit Präfix, Gateway, Optionen</w:t>
            </w:r>
          </w:p>
        </w:tc>
      </w:tr>
      <w:tr>
        <w:tc>
          <w:tcPr>
            <w:tcW w:type="dxa" w:w="30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Neighbor Solicitation</w:t>
            </w:r>
          </w:p>
        </w:tc>
        <w:tc>
          <w:tcPr>
            <w:tcW w:type="dxa" w:w="13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NS</w:t>
            </w:r>
          </w:p>
        </w:tc>
        <w:tc>
          <w:tcPr>
            <w:tcW w:type="dxa" w:w="472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fragt, wem eine IPv6-Adresse gehört (ARP-Ersatz)</w:t>
            </w:r>
          </w:p>
        </w:tc>
      </w:tr>
      <w:tr>
        <w:tc>
          <w:tcPr>
            <w:tcW w:type="dxa" w:w="30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Neighbor Advertisement</w:t>
            </w:r>
          </w:p>
        </w:tc>
        <w:tc>
          <w:tcPr>
            <w:tcW w:type="dxa" w:w="13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NA</w:t>
            </w:r>
          </w:p>
        </w:tc>
        <w:tc>
          <w:tcPr>
            <w:tcW w:type="dxa" w:w="4726"/>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antwortet mit der zugehörigen MAC-Adresse</w:t>
            </w:r>
          </w:p>
        </w:tc>
      </w:tr>
      <w:tr>
        <w:tc>
          <w:tcPr>
            <w:tcW w:type="dxa" w:w="30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Redirect</w:t>
            </w:r>
          </w:p>
        </w:tc>
        <w:tc>
          <w:tcPr>
            <w:tcW w:type="dxa" w:w="13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w:t>
            </w:r>
          </w:p>
        </w:tc>
        <w:tc>
          <w:tcPr>
            <w:tcW w:type="dxa" w:w="472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Router weist auf einen besseren nächsten Hop hin</w:t>
            </w:r>
          </w:p>
        </w:tc>
      </w:tr>
    </w:tbl>
    <w:p>
      <w:pPr>
        <w:spacing w:after="6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D6E4F0" w:sz="1"/>
              <w:left w:val="single" w:color="D6E4F0" w:sz="1"/>
              <w:bottom w:val="single" w:color="D6E4F0" w:sz="1"/>
              <w:right w:val="single" w:color="D6E4F0" w:sz="1"/>
            </w:tcBorders>
            <w:shd w:fill="D6E4F0" w:val="clear"/>
            <w:tcMar>
              <w:top w:type="dxa" w:w="120"/>
              <w:left w:type="dxa" w:w="160"/>
              <w:bottom w:type="dxa" w:w="120"/>
              <w:right w:type="dxa" w:w="160"/>
            </w:tcMar>
          </w:tcPr>
          <w:p>
            <w:pPr>
              <w:spacing w:after="60"/>
            </w:pPr>
            <w:r>
              <w:rPr>
                <w:rFonts w:ascii="Calibri" w:cs="Calibri" w:eastAsia="Calibri" w:hAnsi="Calibri"/>
                <w:b/>
                <w:bCs/>
                <w:color w:val="003366"/>
                <w:sz w:val="22"/>
                <w:szCs w:val="22"/>
              </w:rPr>
              <w:t xml:space="preserve">Merkhilfe</w:t>
            </w:r>
          </w:p>
          <w:p>
            <w:pPr>
              <w:spacing w:after="40" w:line="264"/>
            </w:pPr>
            <w:r>
              <w:rPr>
                <w:rFonts w:ascii="Calibri" w:cs="Calibri" w:eastAsia="Calibri" w:hAnsi="Calibri"/>
                <w:color w:val="1A1A1A"/>
                <w:sz w:val="21"/>
                <w:szCs w:val="21"/>
              </w:rPr>
              <w:t xml:space="preserve">RS/RA = Router finden (Grundlage der Autokonfiguration). NS/NA = Adresse auflösen (das frühere ARP).</w:t>
            </w:r>
          </w:p>
        </w:tc>
      </w:tr>
    </w:tbl>
    <w:p>
      <w:pPr>
        <w:pStyle w:val="Heading2"/>
        <w:spacing w:after="100" w:before="220"/>
      </w:pPr>
      <w:r>
        <w:rPr>
          <w:rFonts w:ascii="Calibri" w:cs="Calibri" w:eastAsia="Calibri" w:hAnsi="Calibri"/>
          <w:b/>
          <w:bCs/>
          <w:color w:val="0066AA"/>
          <w:sz w:val="25"/>
          <w:szCs w:val="25"/>
        </w:rPr>
        <w:t xml:space="preserve">2.3  SLAAC &amp; DAD</w:t>
      </w:r>
    </w:p>
    <w:p>
      <w:pPr>
        <w:spacing w:after="120" w:line="276"/>
      </w:pPr>
      <w:r>
        <w:rPr>
          <w:rFonts w:ascii="Calibri" w:cs="Calibri" w:eastAsia="Calibri" w:hAnsi="Calibri"/>
          <w:color w:val="1A1A1A"/>
          <w:sz w:val="22"/>
          <w:szCs w:val="22"/>
        </w:rPr>
        <w:t xml:space="preserve">Bei der Stateless Address Autoconfiguration (SLAAC) hört ein Host das Router Advertisement, erfährt daraus das Netzpräfix und bildet sich selbst eine IPv6-Adresse — ganz ohne DHCP-Server. Die Interface-ID entsteht per EUI-64 aus der MAC oder zufällig (Privacy Extensions). Vor der Nutzung prüft die Duplicate Address Detection (DAD), ob die geplante Adresse schon vergeben ist: Der Host sendet ein NS an die eigene geplante Adresse; antwortet jemand mit einem NA, ist sie belegt. So werden Adresskonflikte automatisch verhindert.</w:t>
      </w:r>
    </w:p>
    <w:p>
      <w:pPr>
        <w:pStyle w:val="Heading1"/>
        <w:spacing w:after="140" w:before="320"/>
      </w:pPr>
      <w:r>
        <w:rPr>
          <w:rFonts w:ascii="Calibri" w:cs="Calibri" w:eastAsia="Calibri" w:hAnsi="Calibri"/>
          <w:b/>
          <w:bCs/>
          <w:color w:val="003366"/>
          <w:sz w:val="30"/>
          <w:szCs w:val="30"/>
        </w:rPr>
        <w:t xml:space="preserve">Einordnung in die Ausbildung</w:t>
      </w:r>
    </w:p>
    <w:p>
      <w:pPr>
        <w:spacing w:after="120" w:line="276"/>
      </w:pPr>
      <w:r>
        <w:rPr>
          <w:rFonts w:ascii="Calibri" w:cs="Calibri" w:eastAsia="Calibri" w:hAnsi="Calibri"/>
          <w:color w:val="1A1A1A"/>
          <w:sz w:val="22"/>
          <w:szCs w:val="22"/>
        </w:rPr>
        <w:t xml:space="preserve">STP und RSTP sichern Schicht 2 ab und sind für jeden relevant, der Switching plant — ein FISI-Kernthema. NDP ist das Fundament von IPv6 im lokalen Netz und schließt an Modul J (IPv6, Subnetting) an. Beide Themen erscheinen in der AP2 als Verständnisfragen, nicht als Server-Konfiguration. Damit ist die LF9-Vertiefung für die FISI-Schiene abgeschlossen — und mit ihr Modul K insgesamt.</w:t>
      </w:r>
    </w:p>
    <w:p>
      <w:pPr>
        <w:pStyle w:val="Heading1"/>
        <w:spacing w:after="140" w:before="320"/>
      </w:pPr>
      <w:r>
        <w:rPr>
          <w:rFonts w:ascii="Calibri" w:cs="Calibri" w:eastAsia="Calibri" w:hAnsi="Calibri"/>
          <w:b/>
          <w:bCs/>
          <w:color w:val="003366"/>
          <w:sz w:val="30"/>
          <w:szCs w:val="30"/>
        </w:rPr>
        <w:t xml:space="preserve">Glossar / Abkürzungen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rPr>
          <w:tblHeader/>
        </w:trPr>
        <w:tc>
          <w:tcPr>
            <w:tcW w:type="dxa" w:w="3200"/>
            <w:tcBorders>
              <w:top w:val="single" w:color="D6E4F0" w:sz="4"/>
              <w:left w:val="single" w:color="D6E4F0" w:sz="4"/>
              <w:bottom w:val="single" w:color="D6E4F0" w:sz="4"/>
              <w:right w:val="single" w:color="D6E4F0" w:sz="4"/>
            </w:tcBorders>
            <w:shd w:fill="003366" w:val="clear"/>
            <w:tcMar>
              <w:top w:type="dxa" w:w="80"/>
              <w:left w:type="dxa" w:w="120"/>
              <w:bottom w:type="dxa" w:w="80"/>
              <w:right w:type="dxa" w:w="120"/>
            </w:tcMar>
          </w:tcPr>
          <w:p>
            <w:r>
              <w:rPr>
                <w:rFonts w:ascii="Calibri" w:cs="Calibri" w:eastAsia="Calibri" w:hAnsi="Calibri"/>
                <w:b/>
                <w:bCs/>
                <w:color w:val="FFFFFF"/>
                <w:sz w:val="21"/>
                <w:szCs w:val="21"/>
              </w:rPr>
              <w:t xml:space="preserve">Begriff</w:t>
            </w:r>
          </w:p>
        </w:tc>
        <w:tc>
          <w:tcPr>
            <w:tcW w:type="dxa" w:w="5826"/>
            <w:tcBorders>
              <w:top w:val="single" w:color="D6E4F0" w:sz="4"/>
              <w:left w:val="single" w:color="D6E4F0" w:sz="4"/>
              <w:bottom w:val="single" w:color="D6E4F0" w:sz="4"/>
              <w:right w:val="single" w:color="D6E4F0" w:sz="4"/>
            </w:tcBorders>
            <w:shd w:fill="003366" w:val="clear"/>
            <w:tcMar>
              <w:top w:type="dxa" w:w="80"/>
              <w:left w:type="dxa" w:w="120"/>
              <w:bottom w:type="dxa" w:w="80"/>
              <w:right w:type="dxa" w:w="120"/>
            </w:tcMar>
          </w:tcPr>
          <w:p>
            <w:r>
              <w:rPr>
                <w:rFonts w:ascii="Calibri" w:cs="Calibri" w:eastAsia="Calibri" w:hAnsi="Calibri"/>
                <w:b/>
                <w:bCs/>
                <w:color w:val="FFFFFF"/>
                <w:sz w:val="21"/>
                <w:szCs w:val="21"/>
              </w:rPr>
              <w:t xml:space="preserve">Bedeutung</w:t>
            </w:r>
          </w:p>
        </w:tc>
      </w:tr>
      <w:tr>
        <w:tc>
          <w:tcPr>
            <w:tcW w:type="dxa" w:w="32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STP / RSTP</w:t>
            </w:r>
          </w:p>
        </w:tc>
        <w:tc>
          <w:tcPr>
            <w:tcW w:type="dxa" w:w="582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Spanning Tree / Rapid STP (802.1D / 802.1w)</w:t>
            </w:r>
          </w:p>
        </w:tc>
      </w:tr>
      <w:tr>
        <w:tc>
          <w:tcPr>
            <w:tcW w:type="dxa" w:w="32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BPDU</w:t>
            </w:r>
          </w:p>
        </w:tc>
        <w:tc>
          <w:tcPr>
            <w:tcW w:type="dxa" w:w="5826"/>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Bridge Protocol Data Unit — STP-Nachricht</w:t>
            </w:r>
          </w:p>
        </w:tc>
      </w:tr>
      <w:tr>
        <w:tc>
          <w:tcPr>
            <w:tcW w:type="dxa" w:w="32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Bridge-ID (BID)</w:t>
            </w:r>
          </w:p>
        </w:tc>
        <w:tc>
          <w:tcPr>
            <w:tcW w:type="dxa" w:w="582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Priorität + MAC; niedrigste wird Root</w:t>
            </w:r>
          </w:p>
        </w:tc>
      </w:tr>
      <w:tr>
        <w:tc>
          <w:tcPr>
            <w:tcW w:type="dxa" w:w="32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Root Port / Designated Port</w:t>
            </w:r>
          </w:p>
        </w:tc>
        <w:tc>
          <w:tcPr>
            <w:tcW w:type="dxa" w:w="5826"/>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Weg zur Root / zuständiger Port je Segment</w:t>
            </w:r>
          </w:p>
        </w:tc>
      </w:tr>
      <w:tr>
        <w:tc>
          <w:tcPr>
            <w:tcW w:type="dxa" w:w="32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Konvergenz</w:t>
            </w:r>
          </w:p>
        </w:tc>
        <w:tc>
          <w:tcPr>
            <w:tcW w:type="dxa" w:w="582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Zeit bis zum stabilen Baum nach Änderung</w:t>
            </w:r>
          </w:p>
        </w:tc>
      </w:tr>
      <w:tr>
        <w:tc>
          <w:tcPr>
            <w:tcW w:type="dxa" w:w="32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NDP</w:t>
            </w:r>
          </w:p>
        </w:tc>
        <w:tc>
          <w:tcPr>
            <w:tcW w:type="dxa" w:w="5826"/>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Neighbor Discovery Protocol (IPv6)</w:t>
            </w:r>
          </w:p>
        </w:tc>
      </w:tr>
      <w:tr>
        <w:tc>
          <w:tcPr>
            <w:tcW w:type="dxa" w:w="32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RS/RA/NS/NA</w:t>
            </w:r>
          </w:p>
        </w:tc>
        <w:tc>
          <w:tcPr>
            <w:tcW w:type="dxa" w:w="582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die NDP-Nachrichten (Router/Neighbor)</w:t>
            </w:r>
          </w:p>
        </w:tc>
      </w:tr>
      <w:tr>
        <w:tc>
          <w:tcPr>
            <w:tcW w:type="dxa" w:w="32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SLAAC</w:t>
            </w:r>
          </w:p>
        </w:tc>
        <w:tc>
          <w:tcPr>
            <w:tcW w:type="dxa" w:w="5826"/>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zustandslose IPv6-Adress-Autokonfiguration</w:t>
            </w:r>
          </w:p>
        </w:tc>
      </w:tr>
      <w:tr>
        <w:tc>
          <w:tcPr>
            <w:tcW w:type="dxa" w:w="32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DAD</w:t>
            </w:r>
          </w:p>
        </w:tc>
        <w:tc>
          <w:tcPr>
            <w:tcW w:type="dxa" w:w="582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Duplicate Address Detection</w:t>
            </w:r>
          </w:p>
        </w:tc>
      </w:tr>
      <w:tr>
        <w:tc>
          <w:tcPr>
            <w:tcW w:type="dxa" w:w="32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ICMPv6</w:t>
            </w:r>
          </w:p>
        </w:tc>
        <w:tc>
          <w:tcPr>
            <w:tcW w:type="dxa" w:w="5826"/>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Trägerprotokoll von NDP (Typen 133–137)</w:t>
            </w:r>
          </w:p>
        </w:tc>
      </w:tr>
    </w:tbl>
    <w:p>
      <w:pPr>
        <w:pStyle w:val="Heading1"/>
        <w:spacing w:after="140" w:before="320"/>
      </w:pPr>
      <w:r>
        <w:rPr>
          <w:rFonts w:ascii="Calibri" w:cs="Calibri" w:eastAsia="Calibri" w:hAnsi="Calibri"/>
          <w:b/>
          <w:bCs/>
          <w:color w:val="003366"/>
          <w:sz w:val="30"/>
          <w:szCs w:val="30"/>
        </w:rPr>
        <w:t xml:space="preserve">Kontrollfragen zur Selbstüberprüfung</w:t>
      </w:r>
    </w:p>
    <w:p>
      <w:pPr>
        <w:pStyle w:val="ListParagraph"/>
        <w:numPr>
          <w:ilvl w:val="0"/>
          <w:numId w:val="3"/>
        </w:numPr>
        <w:spacing w:after="90" w:line="270"/>
      </w:pPr>
      <w:r>
        <w:rPr>
          <w:rFonts w:ascii="Calibri" w:cs="Calibri" w:eastAsia="Calibri" w:hAnsi="Calibri"/>
          <w:color w:val="1A1A1A"/>
          <w:sz w:val="22"/>
          <w:szCs w:val="22"/>
        </w:rPr>
        <w:t xml:space="preserve">Warum ist eine Layer-2-Schleife ohne STP gefährlich? Nennen Sie zwei Effekte.</w:t>
      </w:r>
    </w:p>
    <w:p>
      <w:pPr>
        <w:pStyle w:val="ListParagraph"/>
        <w:numPr>
          <w:ilvl w:val="0"/>
          <w:numId w:val="3"/>
        </w:numPr>
        <w:spacing w:after="90" w:line="270"/>
      </w:pPr>
      <w:r>
        <w:rPr>
          <w:rFonts w:ascii="Calibri" w:cs="Calibri" w:eastAsia="Calibri" w:hAnsi="Calibri"/>
          <w:color w:val="1A1A1A"/>
          <w:sz w:val="22"/>
          <w:szCs w:val="22"/>
        </w:rPr>
        <w:t xml:space="preserve">Wie setzt sich die Bridge-ID zusammen, und welche Bridge wird Root?</w:t>
      </w:r>
    </w:p>
    <w:p>
      <w:pPr>
        <w:pStyle w:val="ListParagraph"/>
        <w:numPr>
          <w:ilvl w:val="0"/>
          <w:numId w:val="3"/>
        </w:numPr>
        <w:spacing w:after="90" w:line="270"/>
      </w:pPr>
      <w:r>
        <w:rPr>
          <w:rFonts w:ascii="Calibri" w:cs="Calibri" w:eastAsia="Calibri" w:hAnsi="Calibri"/>
          <w:color w:val="1A1A1A"/>
          <w:sz w:val="22"/>
          <w:szCs w:val="22"/>
        </w:rPr>
        <w:t xml:space="preserve">Was ist der Unterschied zwischen einem Root Port und einem Designated Port?</w:t>
      </w:r>
    </w:p>
    <w:p>
      <w:pPr>
        <w:pStyle w:val="ListParagraph"/>
        <w:numPr>
          <w:ilvl w:val="0"/>
          <w:numId w:val="3"/>
        </w:numPr>
        <w:spacing w:after="90" w:line="270"/>
      </w:pPr>
      <w:r>
        <w:rPr>
          <w:rFonts w:ascii="Calibri" w:cs="Calibri" w:eastAsia="Calibri" w:hAnsi="Calibri"/>
          <w:color w:val="1A1A1A"/>
          <w:sz w:val="22"/>
          <w:szCs w:val="22"/>
        </w:rPr>
        <w:t xml:space="preserve">Welche NDP-Nachrichten ersetzen die Funktion von ARP?</w:t>
      </w:r>
    </w:p>
    <w:p>
      <w:pPr>
        <w:pStyle w:val="ListParagraph"/>
        <w:numPr>
          <w:ilvl w:val="0"/>
          <w:numId w:val="3"/>
        </w:numPr>
        <w:spacing w:after="90" w:line="270"/>
      </w:pPr>
      <w:r>
        <w:rPr>
          <w:rFonts w:ascii="Calibri" w:cs="Calibri" w:eastAsia="Calibri" w:hAnsi="Calibri"/>
          <w:color w:val="1A1A1A"/>
          <w:sz w:val="22"/>
          <w:szCs w:val="22"/>
        </w:rPr>
        <w:t xml:space="preserve">Beschreiben Sie kurz den Ablauf von SLAAC.</w:t>
      </w:r>
    </w:p>
    <w:p>
      <w:pPr>
        <w:pStyle w:val="ListParagraph"/>
        <w:numPr>
          <w:ilvl w:val="0"/>
          <w:numId w:val="3"/>
        </w:numPr>
        <w:spacing w:after="90" w:line="270"/>
      </w:pPr>
      <w:r>
        <w:rPr>
          <w:rFonts w:ascii="Calibri" w:cs="Calibri" w:eastAsia="Calibri" w:hAnsi="Calibri"/>
          <w:color w:val="1A1A1A"/>
          <w:sz w:val="22"/>
          <w:szCs w:val="22"/>
        </w:rPr>
        <w:t xml:space="preserve">Wozu dient die Duplicate Address Detection, und welche Nachricht nutzt sie?</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6E4F0" w:sz="4" w:space="4"/>
      </w:pBdr>
      <w:tabs>
        <w:tab w:val="right" w:pos="9026"/>
      </w:tabs>
      <w:spacing w:before="0"/>
    </w:pPr>
    <w:r>
      <w:rPr>
        <w:rFonts w:ascii="Calibri" w:cs="Calibri" w:eastAsia="Calibri" w:hAnsi="Calibri"/>
        <w:color w:val="5A6B7B"/>
        <w:sz w:val="16"/>
        <w:szCs w:val="16"/>
      </w:rPr>
      <w:t xml:space="preserve">[Vor- und Nachname]   ·   Datum: [Datum]</w:t>
    </w:r>
    <w:r>
      <w:rPr>
        <w:rFonts w:ascii="Calibri" w:cs="Calibri" w:eastAsia="Calibri" w:hAnsi="Calibri"/>
        <w:color w:val="5A6B7B"/>
        <w:sz w:val="16"/>
        <w:szCs w:val="16"/>
      </w:rPr>
      <w:t xml:space="preserve">	Seite </w:t>
    </w:r>
    <w:r>
      <w:rPr>
        <w:rFonts w:ascii="Calibri" w:cs="Calibri" w:eastAsia="Calibri" w:hAnsi="Calibri"/>
        <w:color w:val="5A6B7B"/>
        <w:sz w:val="16"/>
        <w:szCs w:val="16"/>
      </w:rPr>
      <w:fldChar w:fldCharType="begin"/>
      <w:instrText xml:space="preserve">PAGE</w:instrText>
      <w:fldChar w:fldCharType="separate"/>
      <w:fldChar w:fldCharType="end"/>
    </w:r>
    <w:r>
      <w:rPr>
        <w:rFonts w:ascii="Calibri" w:cs="Calibri" w:eastAsia="Calibri" w:hAnsi="Calibri"/>
        <w:color w:val="5A6B7B"/>
        <w:sz w:val="16"/>
        <w:szCs w:val="16"/>
      </w:rPr>
      <w:t xml:space="preserve"> von </w:t>
    </w:r>
    <w:r>
      <w:rPr>
        <w:rFonts w:ascii="Calibri" w:cs="Calibri" w:eastAsia="Calibri" w:hAnsi="Calibri"/>
        <w:color w:val="5A6B7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6E4F0" w:sz="4" w:space="4"/>
      </w:pBdr>
      <w:tabs>
        <w:tab w:val="right" w:pos="9026"/>
      </w:tabs>
      <w:spacing w:after="0"/>
    </w:pPr>
    <w:r>
      <w:rPr>
        <w:rFonts w:ascii="Calibri" w:cs="Calibri" w:eastAsia="Calibri" w:hAnsi="Calibri"/>
        <w:color w:val="5A6B7B"/>
        <w:sz w:val="16"/>
        <w:szCs w:val="16"/>
      </w:rPr>
      <w:t xml:space="preserve">Modul K – Anhang – LF9-Vertiefung</w:t>
    </w:r>
    <w:r>
      <w:rPr>
        <w:rFonts w:ascii="Calibri" w:cs="Calibri" w:eastAsia="Calibri" w:hAnsi="Calibri"/>
        <w:color w:val="5A6B7B"/>
        <w:sz w:val="16"/>
        <w:szCs w:val="16"/>
      </w:rPr>
      <w:t xml:space="preserve">	Etappe 8: STP &amp; NDP</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rPr>
        <w:color w:val="0066AA"/>
      </w:rPr>
    </w:lvl>
  </w:abstractNum>
  <w:abstractNum w:abstractNumId="3" w15:restartNumberingAfterBreak="0">
    <w:multiLevelType w:val="hybridMultilevel"/>
    <w:lvl w:ilvl="0" w15:tentative="1">
      <w:start w:val="1"/>
      <w:numFmt w:val="decimal"/>
      <w:lvlText w:val="%1."/>
      <w:lvlJc w:val="left"/>
      <w:pPr>
        <w:ind w:left="46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K – Etappe 8 – Handout STP &amp; NDP</dc:title>
  <dc:creator>[Vor- und Nachname]</dc:creator>
  <cp:lastModifiedBy>Un-named</cp:lastModifiedBy>
  <cp:revision>1</cp:revision>
  <dcterms:created xsi:type="dcterms:W3CDTF">2026-06-28T21:17:42.183Z</dcterms:created>
  <dcterms:modified xsi:type="dcterms:W3CDTF">2026-06-28T21:17:42.184Z</dcterms:modified>
</cp:coreProperties>
</file>

<file path=docProps/custom.xml><?xml version="1.0" encoding="utf-8"?>
<Properties xmlns="http://schemas.openxmlformats.org/officeDocument/2006/custom-properties" xmlns:vt="http://schemas.openxmlformats.org/officeDocument/2006/docPropsVTypes"/>
</file>