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" w:after="60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Strukturierte Gebäudeverkabelung</w:t>
      </w:r>
    </w:p>
    <w:p>
      <w:pPr>
        <w:spacing w:before="0" w:after="24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EN50173 / ISO IEC 11801 – Merkzettel für FIAE / FISI</w:t>
      </w:r>
    </w:p>
    <w:p>
      <w:pPr>
        <w:pBdr>
          <w:bottom w:val="single" w:color="2E74B5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1. Die drei Ebenen der strukturierten Verkabelung (EN50173)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2000"/>
        <w:gridCol w:w="1700"/>
        <w:gridCol w:w="1700"/>
        <w:gridCol w:w="1300"/>
        <w:gridCol w:w="19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Ebene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Bezeichnung (EN50173)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Verbindet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Typisches Kabel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Länge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Verteilerpunkt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4ED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C5D2E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4ED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C5D2E"/>
                <w:sz w:val="17"/>
                <w:szCs w:val="17"/>
              </w:rPr>
              <w:t xml:space="preserve">Primärverkabelung
(Geländeverkabelung)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Gebäude untereinander (Campus)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Glasfaser (OS2, OM3/4)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4ED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C5D2E"/>
                <w:sz w:val="16"/>
                <w:szCs w:val="16"/>
              </w:rPr>
              <w:t xml:space="preserve">1.500 m (OS2)
500 m (OM)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Standortverteiler (SV / CD)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0E4F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4A8A"/>
                <w:sz w:val="24"/>
                <w:szCs w:val="24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0E4F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4A8A"/>
                <w:sz w:val="17"/>
                <w:szCs w:val="17"/>
              </w:rPr>
              <w:t xml:space="preserve">Sekundärverkabelung
(Gebäudeverkabelung)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Etagen-/Stockwerksverteiler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Glasfaser oder Cat6a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0E4F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4A8A"/>
                <w:sz w:val="16"/>
                <w:szCs w:val="16"/>
              </w:rPr>
              <w:t xml:space="preserve">500 m (OS2)
300 m (OM)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Gebäudeverteiler (GV / BD)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E8D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A2D00"/>
                <w:sz w:val="24"/>
                <w:szCs w:val="24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E8D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A2D00"/>
                <w:sz w:val="17"/>
                <w:szCs w:val="17"/>
              </w:rPr>
              <w:t xml:space="preserve">Tertiärverkabelung
(Etagenverkabelung)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Anschlussdose ↔ Etagenverteiler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Cat5e / Cat6 / Cat6a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E8D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A2D00"/>
                <w:sz w:val="16"/>
                <w:szCs w:val="16"/>
              </w:rPr>
              <w:t xml:space="preserve">90 m (fest) + 10 m Patchkabel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Etagenverteiler (EV / FD)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2E74B5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📐 Merkformel: Gelände → Gebäude → Etage (3 Ebenen, 3 Verteilertypen)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SV (Standortverteiler) → GV (Gebäudeverteiler) → EV (Etagenverteiler) → TO (Anschlussdose)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EN50173 ist die europäische Norm. Internationale Entsprechung: ISO/IEC 11801.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spacing w:before="160" w:after="10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Verteilertypen im Überblick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800"/>
        <w:gridCol w:w="2800"/>
        <w:gridCol w:w="46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Kürzel (DE)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Kürzel (EN)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Funktion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SV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CD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Standortverteiler (Campus Distributor)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Zentraler Verteiler des gesamten Geländes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GV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BD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Gebäudeverteiler (Building Distributor)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Verteiler je Gebäude; verbindet SV mit EV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EV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FD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Etagenverteiler (Floor Distributor)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Verteiler je Etage; verbindet GV mit TAE/Dosen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Consolidation Point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Optionaler Zwischenpunkt in der Tertiärverkabelung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TO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TO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Telecommunications Outlet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Anschlussdose am Arbeitsplatz (RJ45-Buchse)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2. Kabeltypen – Twisted Pair (Kupfer)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1000"/>
        <w:gridCol w:w="1400"/>
        <w:gridCol w:w="800"/>
        <w:gridCol w:w="1800"/>
        <w:gridCol w:w="32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Kategorie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Frequenz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Datenrate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Länge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Abschirmung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Einsatz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9"/>
                <w:szCs w:val="19"/>
              </w:rPr>
              <w:t xml:space="preserve">Cat5e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100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1 Gbit/s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100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U/UTP oder F/UTP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Büro-Renovierung, ältere Anlagen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9"/>
                <w:szCs w:val="19"/>
              </w:rPr>
              <w:t xml:space="preserve">Cat6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250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1 Gbit/s
(10G bis 55 m)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100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U/UTP oder F/UTP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Standard für Neuinstallation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9"/>
                <w:szCs w:val="19"/>
              </w:rPr>
              <w:t xml:space="preserve">Cat6a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500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10 Gbit/s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100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F/FTP oder S/FTP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Rechenzentrum, Hochleistung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9"/>
                <w:szCs w:val="19"/>
              </w:rPr>
              <w:t xml:space="preserve">Cat7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600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10 Gbit/s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100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S/FTP (Paar + Gesamtschirm)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Industriell, hohe Störumgebung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5000"/>
                <w:sz w:val="19"/>
                <w:szCs w:val="19"/>
              </w:rPr>
              <w:t xml:space="preserve">Cat8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2.000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5000"/>
                <w:sz w:val="17"/>
                <w:szCs w:val="17"/>
              </w:rPr>
              <w:t xml:space="preserve">25/40 Gbit/s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30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S/FTP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Rechenzentrum (Rack-to-Rack)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7A4F00" w:sz="8"/>
              <w:bottom w:val="single" w:color="CCCCCC" w:sz="1"/>
              <w:right w:val="single" w:color="CCCCCC" w:sz="1"/>
            </w:tcBorders>
            <w:shd w:fill="FFF8E1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7A4F00"/>
                <w:sz w:val="17"/>
                <w:szCs w:val="17"/>
              </w:rPr>
              <w:t xml:space="preserve">⚠️ Die 100-m-Regel: Gilt für den Gesamtkanal (Channel) = 90 m Festverkabelung + 10 m Patchkabel.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7A4F00"/>
                <w:sz w:val="17"/>
                <w:szCs w:val="17"/>
              </w:rPr>
              <w:t xml:space="preserve">Cat6 mit 10 Gbit/s nur bis 55 m. Für 10G auf voller Länge: Cat6a verwenden.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7A4F00"/>
                <w:sz w:val="17"/>
                <w:szCs w:val="17"/>
              </w:rPr>
              <w:t xml:space="preserve">IHK-Tipp: 'Maximale Kabellänge' in der Prüfung = 100 m (außer Cat8 = 30 m).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spacing w:before="160" w:after="10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Abschirmungsbezeichnungen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200"/>
        <w:gridCol w:w="2800"/>
        <w:gridCol w:w="31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Kürzel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Aufbau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Einsatz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U/UTP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Unshielded Twisted Pair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Keine Schirmung – nur Verdrillung der Aderpaare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Heimnetz, einfache Büroverkabelung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F/UTP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Foiled UTP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Gesamtschirm aus Folie, Paare ungeschirmt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Standard-Büroverkabelung (Cat6)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U/FTP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Unshielded / Foiled Twisted Pair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Kein Gesamtschirm, Paare einzeln mit Folie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Gegen Nebensprechen (Cat6a)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S/FTP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Screened / Foiled 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Gesamtschirm aus Geflecht + Einzelpaarfolien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Cat7/8, hohe Störumgebung, Industrie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F/FTP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Foiled / Foiled 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Gesamtschirm aus Folie + Einzelpaarfolien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Cat6a/7, Rechenzentrum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spacing w:before="160" w:after="10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Glasfaser-Typen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00"/>
        <w:gridCol w:w="1400"/>
        <w:gridCol w:w="2500"/>
        <w:gridCol w:w="35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Typ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Kern-Ø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Wellenlänge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Reichweite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Einsatz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OM1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62,5 µm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850/1300 nm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275 m (1G) / 33 m (10G)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Veraltet, kurze Strecken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OM2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50 µm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850/1300 nm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550 m (1G) / 82 m (10G)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Ältere Gebäudeverkabelung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OM3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50 µm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850 nm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300 m (10G) / 100 m (40G)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Rechenzentrum, Gebäudeverkabelung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OM4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50 µm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850 nm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400 m (10G) / 150 m (40G)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Hochleistungs-Rechenzentrum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8"/>
                <w:szCs w:val="18"/>
              </w:rPr>
              <w:t xml:space="preserve">OS1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9 µm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1310/1550 nm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6"/>
                <w:szCs w:val="16"/>
              </w:rPr>
              <w:t xml:space="preserve">10 km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Innengebäude (Singlemode)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8"/>
                <w:szCs w:val="18"/>
              </w:rPr>
              <w:t xml:space="preserve">OS2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9 µm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1310/1550 nm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6"/>
                <w:szCs w:val="16"/>
              </w:rPr>
              <w:t xml:space="preserve">bis 80 km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Geländeverkabelung, WAN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5B2D8E" w:sz="8"/>
              <w:bottom w:val="single" w:color="CCCCCC" w:sz="1"/>
              <w:right w:val="single" w:color="CCCCCC" w:sz="1"/>
            </w:tcBorders>
            <w:shd w:fill="F3E5F5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🔵 Multimode (OM) = orange/aqua, kurze Strecken, günstig, mehrere Lichtpfade (Moden)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🟡 Singlemode (OS) = gelb, lange Strecken, teurer, ein Lichtpfad (ein Modus)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3. Stecker &amp; Anschlussbelegung – T568A und T568B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Beide Standards definieren die Pin-Belegung eines RJ45-Steckers. T568A ist ISO-Standard, T568B ist in den USA verbreitet und wird häufig in der Praxis verwendet.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93"/>
        <w:gridCol w:w="40"/>
        <w:gridCol w:w="449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"/>
            </w:tcMar>
          </w:tcPr>
          <w:tbl>
            <w:tblPr>
              <w:tblW w:type="dxa" w:w="449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00"/>
              <w:gridCol w:w="1600"/>
              <w:gridCol w:w="600"/>
              <w:gridCol w:w="1893"/>
            </w:tblGrid>
            <w:tr>
              <w:tc>
                <w:tcPr>
                  <w:gridSpan w:val="4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1A7A3C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9"/>
                      <w:szCs w:val="19"/>
                    </w:rPr>
                    <w:t xml:space="preserve">T568A (ISO/IEC Standard)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1F3864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FFFFFF"/>
                      <w:sz w:val="18"/>
                      <w:szCs w:val="18"/>
                    </w:rPr>
                    <w:t xml:space="preserve">Pin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1F3864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FFFFFF"/>
                      <w:sz w:val="18"/>
                      <w:szCs w:val="18"/>
                    </w:rPr>
                    <w:t xml:space="preserve">Farbe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1F3864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FFFFFF"/>
                      <w:sz w:val="18"/>
                      <w:szCs w:val="18"/>
                    </w:rPr>
                    <w:t xml:space="preserve">Paar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1F3864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FFFFFF"/>
                      <w:sz w:val="18"/>
                      <w:szCs w:val="18"/>
                    </w:rPr>
                    <w:t xml:space="preserve">10/100M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1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Weiß-Grün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A7A3C"/>
                      <w:sz w:val="16"/>
                      <w:szCs w:val="16"/>
                    </w:rPr>
                    <w:t xml:space="preserve">TX+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2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Grün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A7A3C"/>
                      <w:sz w:val="16"/>
                      <w:szCs w:val="16"/>
                    </w:rPr>
                    <w:t xml:space="preserve">TX-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3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Weiß-Orange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A7A3C"/>
                      <w:sz w:val="16"/>
                      <w:szCs w:val="16"/>
                    </w:rPr>
                    <w:t xml:space="preserve">RX+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4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Blau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888888"/>
                      <w:sz w:val="16"/>
                      <w:szCs w:val="16"/>
                    </w:rPr>
                    <w:t xml:space="preserve">–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5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Weiß-Blau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888888"/>
                      <w:sz w:val="16"/>
                      <w:szCs w:val="16"/>
                    </w:rPr>
                    <w:t xml:space="preserve">–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6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Orange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A7A3C"/>
                      <w:sz w:val="16"/>
                      <w:szCs w:val="16"/>
                    </w:rPr>
                    <w:t xml:space="preserve">RX-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7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Weiß-Braun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888888"/>
                      <w:sz w:val="16"/>
                      <w:szCs w:val="16"/>
                    </w:rPr>
                    <w:t xml:space="preserve">–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8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Braun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888888"/>
                      <w:sz w:val="16"/>
                      <w:szCs w:val="16"/>
                    </w:rPr>
                    <w:t xml:space="preserve">–</w:t>
                  </w:r>
                </w:p>
              </w:tc>
            </w:tr>
          </w:tbl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"/>
              <w:bottom w:type="dxa" w:w="0"/>
              <w:right w:type="dxa" w:w="0"/>
            </w:tcMar>
          </w:tcPr>
          <w:tbl>
            <w:tblPr>
              <w:tblW w:type="dxa" w:w="449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00"/>
              <w:gridCol w:w="1600"/>
              <w:gridCol w:w="600"/>
              <w:gridCol w:w="1893"/>
            </w:tblGrid>
            <w:tr>
              <w:tc>
                <w:tcPr>
                  <w:gridSpan w:val="4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1A4A8A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9"/>
                      <w:szCs w:val="19"/>
                    </w:rPr>
                    <w:t xml:space="preserve">T568B (USA-Standard / TIA-568)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1F3864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FFFFFF"/>
                      <w:sz w:val="18"/>
                      <w:szCs w:val="18"/>
                    </w:rPr>
                    <w:t xml:space="preserve">Pin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1F3864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FFFFFF"/>
                      <w:sz w:val="18"/>
                      <w:szCs w:val="18"/>
                    </w:rPr>
                    <w:t xml:space="preserve">Farbe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1F3864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FFFFFF"/>
                      <w:sz w:val="18"/>
                      <w:szCs w:val="18"/>
                    </w:rPr>
                    <w:t xml:space="preserve">Paar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1F3864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FFFFFF"/>
                      <w:sz w:val="18"/>
                      <w:szCs w:val="18"/>
                    </w:rPr>
                    <w:t xml:space="preserve">10/100M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1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Weiß-Orange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A7A3C"/>
                      <w:sz w:val="16"/>
                      <w:szCs w:val="16"/>
                    </w:rPr>
                    <w:t xml:space="preserve">TX+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2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Orange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A7A3C"/>
                      <w:sz w:val="16"/>
                      <w:szCs w:val="16"/>
                    </w:rPr>
                    <w:t xml:space="preserve">TX-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3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Weiß-Grün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A7A3C"/>
                      <w:sz w:val="16"/>
                      <w:szCs w:val="16"/>
                    </w:rPr>
                    <w:t xml:space="preserve">RX+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4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Blau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888888"/>
                      <w:sz w:val="16"/>
                      <w:szCs w:val="16"/>
                    </w:rPr>
                    <w:t xml:space="preserve">–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5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Weiß-Blau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888888"/>
                      <w:sz w:val="16"/>
                      <w:szCs w:val="16"/>
                    </w:rPr>
                    <w:t xml:space="preserve">–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6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Grün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A7A3C"/>
                      <w:sz w:val="16"/>
                      <w:szCs w:val="16"/>
                    </w:rPr>
                    <w:t xml:space="preserve">RX-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7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Weiß-Braun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2F8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888888"/>
                      <w:sz w:val="16"/>
                      <w:szCs w:val="16"/>
                    </w:rPr>
                    <w:t xml:space="preserve">–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8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Braun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888888"/>
                      <w:sz w:val="16"/>
                      <w:szCs w:val="16"/>
                    </w:rPr>
                    <w:t xml:space="preserve">–</w:t>
                  </w:r>
                </w:p>
              </w:tc>
            </w:tr>
          </w:tbl>
          <w:p/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2E74B5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🔀 Crossover-Kabel: Ein Ende T568A, anderes Ende T568B → für direkte PC-zu-PC-Verbindung.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   Heute kaum noch nötig, da moderne Switches und NICs Auto-MDI-X unterstützen.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✅ Wichtig: Innerhalb einer Anlage immer denselben Standard verwenden (keine Mischung)!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pBdr>
          <w:bottom w:val="single" w:color="2E74B5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4. Maximale Segmentlängen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000"/>
        <w:gridCol w:w="1700"/>
        <w:gridCol w:w="37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Kanal-Element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Maximale Länge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Norm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Hinweis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Horizontale Verkabelung (fest)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8"/>
                <w:szCs w:val="18"/>
              </w:rPr>
              <w:t xml:space="preserve">90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EN50173 / ISO 11801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Vom Etagenverteiler bis zur Anschlussdose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Anschlussleitung Arbeitsplatz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8"/>
                <w:szCs w:val="18"/>
              </w:rPr>
              <w:t xml:space="preserve">10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EN50173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Patchkabel PC ↔ Dose + Patchkabel Verteiler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Gesamtkanal (Channel)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8"/>
                <w:szCs w:val="18"/>
              </w:rPr>
              <w:t xml:space="preserve">100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EN50173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= 90 m Festverkabelung + 10 m Patchkabel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Primärverkabelung (OS2)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8"/>
                <w:szCs w:val="18"/>
              </w:rPr>
              <w:t xml:space="preserve">1.500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EN50173-1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Gebäude zu Gebäude (Campus)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Primärverkabelung (OM3/4)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8"/>
                <w:szCs w:val="18"/>
              </w:rPr>
              <w:t xml:space="preserve">500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EN50173-1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Multimode zwischen Gebäuden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Sekundärverkabelung (OS2)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8"/>
                <w:szCs w:val="18"/>
              </w:rPr>
              <w:t xml:space="preserve">500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EN50173-1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Etage zu Gebäudeverteiler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10GBASE-T (Cat6)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8"/>
                <w:szCs w:val="18"/>
              </w:rPr>
              <w:t xml:space="preserve">55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IEEE 802.3an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Nur bei optimaler Installation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10GBASE-T (Cat6a)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8"/>
                <w:szCs w:val="18"/>
              </w:rPr>
              <w:t xml:space="preserve">100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IEEE 802.3an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Volle Länge für 10 Gbit/s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5. Aktive und passive Netzwerkkomponenten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900"/>
        <w:gridCol w:w="4700"/>
        <w:gridCol w:w="14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Komponente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Aktiv / Passiv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Funktion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OSI-Schicht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Patchkabel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Passiv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Verbindet Dose ↔ Gerät oder Patchfeld ↔ Switch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Patchfeld (Patch Panel)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Passiv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Strukturierte Kabelführung im Rack; Übergang fest/flexibel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Anschlussdose (TO)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Passiv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RJ45-Buchse an der Wand; Abschluss der Tertiärverkabelung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Kabelkanal / Trunking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Passiv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Mechanischer Kabelschutz und -führung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–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E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A4F00"/>
                <w:sz w:val="17"/>
                <w:szCs w:val="17"/>
              </w:rPr>
              <w:t xml:space="preserve">Hub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E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Aktiv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Verteilt alle Signale an alle Ports (Broadcast-Domäne, veraltet)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Switch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Aktiv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Vermittelt gezielt anhand MAC-Adressen (Layer 2)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Router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Aktiv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Verbindet Netze, leitet Pakete anhand IP-Routing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3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7"/>
                <w:szCs w:val="17"/>
              </w:rPr>
              <w:t xml:space="preserve">Access Point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Aktiv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WLAN-Brücke: verbindet Funk- mit Kabelnetz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7"/>
                <w:szCs w:val="17"/>
              </w:rPr>
              <w:t xml:space="preserve">Medienkonverter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Aktiv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Wandelt Kupfer-Signal in Glasfaser-Signal um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1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💡 Faustregel: Passive Komponenten verstärken/verarbeiten keine Signale – nur Führung/Anschluss.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Aktive Komponenten benötigen Strom und verarbeiten Signale elektronisch.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IHK häufig gefragt: Hub (Schicht 1) vs. Switch (Schicht 2) vs. Router (Schicht 3).</w:t>
            </w:r>
          </w:p>
        </w:tc>
      </w:tr>
    </w:tbl>
    <w:p>
      <w:pPr>
        <w:spacing w:before="8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E74B5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Merkzettel Verkabelung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4B5" w:sz="6" w:space="1"/>
      </w:pBdr>
      <w:spacing w:after="120"/>
    </w:pPr>
    <w:r>
      <w:rPr>
        <w:rFonts w:ascii="Calibri" w:cs="Calibri" w:eastAsia="Calibri" w:hAnsi="Calibri"/>
        <w:b/>
        <w:bCs/>
        <w:color w:val="1F3864"/>
        <w:sz w:val="20"/>
        <w:szCs w:val="20"/>
      </w:rPr>
      <w:t xml:space="preserve">LF3 – Netzwerktechnik  |  EN50173 – Strukturierte Verkabelung</w:t>
    </w:r>
    <w:r>
      <w:rPr>
        <w:rFonts w:ascii="Calibri" w:cs="Calibri" w:eastAsia="Calibri" w:hAnsi="Calibri"/>
        <w:color w:val="888888"/>
        <w:sz w:val="18"/>
        <w:szCs w:val="18"/>
      </w:rPr>
      <w:t xml:space="preserve">  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2026-03-11T07:45:57.382Z</dcterms:created>
  <dcterms:modified xsi:type="dcterms:W3CDTF">2026-03-11T07:45:57.383Z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