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pPr>
    </w:p>
    <w:p>
      <w:pPr>
        <w:spacing w:after="200"/>
        <w:jc w:val="center"/>
      </w:pPr>
      <w:r>
        <w:rPr>
          <w:rFonts w:ascii="Arial" w:cs="Arial" w:eastAsia="Arial" w:hAnsi="Arial"/>
          <w:color w:val="0066AA"/>
          <w:sz w:val="28"/>
          <w:szCs w:val="28"/>
        </w:rPr>
        <w:t xml:space="preserve">Modul C / Lernfeld 3</w:t>
      </w:r>
    </w:p>
    <w:p>
      <w:pPr>
        <w:spacing w:after="100"/>
        <w:jc w:val="center"/>
      </w:pPr>
      <w:r>
        <w:rPr>
          <w:rFonts w:ascii="Arial" w:cs="Arial" w:eastAsia="Arial" w:hAnsi="Arial"/>
          <w:b/>
          <w:bCs/>
          <w:color w:val="003366"/>
          <w:sz w:val="48"/>
          <w:szCs w:val="48"/>
        </w:rPr>
        <w:t xml:space="preserve">Clients in Netzwerke einbinden</w:t>
      </w:r>
    </w:p>
    <w:p>
      <w:pPr>
        <w:pBdr>
          <w:bottom w:val="single" w:color="0066AA" w:sz="6" w:space="8"/>
        </w:pBdr>
        <w:spacing w:after="600"/>
        <w:jc w:val="center"/>
      </w:pPr>
      <w:r>
        <w:rPr>
          <w:rFonts w:ascii="Arial" w:cs="Arial" w:eastAsia="Arial" w:hAnsi="Arial"/>
          <w:color w:val="666666"/>
          <w:sz w:val="24"/>
          <w:szCs w:val="24"/>
        </w:rPr>
        <w:t xml:space="preserve">Lernzettel – Netzwerk-Grundlagen</w:t>
      </w:r>
    </w:p>
    <w:p>
      <w:pPr>
        <w:spacing w:after="200"/>
      </w:pPr>
    </w:p>
    <w:p>
      <w:pPr>
        <w:jc w:val="center"/>
      </w:pPr>
      <w:r>
        <w:rPr>
          <w:rFonts w:ascii="Arial" w:cs="Arial" w:eastAsia="Arial" w:hAnsi="Arial"/>
          <w:color w:val="888888"/>
          <w:sz w:val="20"/>
          <w:szCs w:val="20"/>
        </w:rPr>
        <w:t xml:space="preserve">Themen: OSI-Modell · Protokolle · Netzwerksicherheit · Dokumentation · Datenraten</w:t>
      </w:r>
    </w:p>
    <w:p>
      <w:pPr>
        <w:spacing w:before="400"/>
        <w:jc w:val="center"/>
      </w:pPr>
      <w:r>
        <w:rPr>
          <w:rFonts w:ascii="Arial" w:cs="Arial" w:eastAsia="Arial" w:hAnsi="Arial"/>
          <w:color w:val="003366"/>
          <w:sz w:val="20"/>
          <w:szCs w:val="20"/>
        </w:rPr>
        <w:t xml:space="preserve">bfw – Unternehmen für Bildung · Lübeck</w:t>
      </w:r>
    </w:p>
    <w:p>
      <w:pPr>
        <w:spacing w:before="100"/>
        <w:jc w:val="center"/>
      </w:pPr>
      <w:r>
        <w:rPr>
          <w:rFonts w:ascii="Arial" w:cs="Arial" w:eastAsia="Arial" w:hAnsi="Arial"/>
          <w:color w:val="666666"/>
          <w:sz w:val="20"/>
          <w:szCs w:val="20"/>
        </w:rPr>
        <w:t xml:space="preserve">FIAE / FISI Umschulung</w:t>
      </w:r>
    </w:p>
    <w:p>
      <w:pPr>
        <w:sectPr>
          <w:pgSz w:w="11906" w:h="16838" w:orient="portrait"/>
          <w:pgMar w:top="1440" w:right="1440" w:bottom="1440" w:left="1440" w:header="708" w:footer="708" w:gutter="0"/>
          <w:pgNumType/>
          <w:docGrid w:linePitch="360"/>
        </w:sectPr>
      </w:pPr>
    </w:p>
    <w:p>
      <w:pPr>
        <w:pStyle w:val="Heading1"/>
      </w:pPr>
      <w:r>
        <w:rPr>
          <w:rFonts w:ascii="Arial" w:cs="Arial" w:eastAsia="Arial" w:hAnsi="Arial"/>
          <w:b/>
          <w:bCs/>
          <w:color w:val="003366"/>
          <w:sz w:val="32"/>
          <w:szCs w:val="32"/>
        </w:rPr>
        <w:t xml:space="preserve">1. Das OSI-Referenzmodell</w:t>
      </w:r>
    </w:p>
    <w:p>
      <w:pPr>
        <w:spacing w:after="120"/>
      </w:pPr>
      <w:r>
        <w:rPr>
          <w:rFonts w:ascii="Arial" w:cs="Arial" w:eastAsia="Arial" w:hAnsi="Arial"/>
          <w:sz w:val="20"/>
          <w:szCs w:val="20"/>
        </w:rPr>
        <w:t xml:space="preserve">Das OSI-Modell (Open Systems Interconnection) ist ein Referenzmodell der ISO, das die Kommunikation zwischen Systemen in sieben Schichten beschreibt. Es dient als theoretisches Grundgerüst für das Verständnis von Netzwerkprotokollen und ist Pflichtthema in der IHK-Prüfung.</w:t>
      </w:r>
    </w:p>
    <w:p>
      <w:pPr>
        <w:pStyle w:val="Heading2"/>
      </w:pPr>
      <w:r>
        <w:rPr>
          <w:rFonts w:ascii="Arial" w:cs="Arial" w:eastAsia="Arial" w:hAnsi="Arial"/>
          <w:b/>
          <w:bCs/>
          <w:color w:val="0066AA"/>
          <w:sz w:val="26"/>
          <w:szCs w:val="26"/>
        </w:rPr>
        <w:t xml:space="preserve">1.1 Die sieben Schichten</w:t>
      </w:r>
    </w:p>
    <w:p>
      <w:pPr>
        <w:spacing w:after="120"/>
      </w:pPr>
      <w:r>
        <w:rPr>
          <w:rFonts w:ascii="Arial" w:cs="Arial" w:eastAsia="Arial" w:hAnsi="Arial"/>
          <w:sz w:val="20"/>
          <w:szCs w:val="20"/>
        </w:rPr>
        <w:t xml:space="preserve">Merkspruch: „Alle Personen scheinen Transportmittel nicht zu brauchen“ (von oben nach unten: Application, Presentation, Session, Transport, Network, Data Link, Physical) – oder von unten: „Please Do Not Throw Sausage Pizza Away“.</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2600"/>
        <w:gridCol w:w="2400"/>
        <w:gridCol w:w="1600"/>
      </w:tblGrid>
      <w:tr>
        <w:tc>
          <w:tcPr>
            <w:tcW w:type="dxa" w:w="6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Schicht</w:t>
            </w:r>
          </w:p>
        </w:tc>
        <w:tc>
          <w:tcPr>
            <w:tcW w:type="dxa" w:w="18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Name (DE/EN)</w:t>
            </w:r>
          </w:p>
        </w:tc>
        <w:tc>
          <w:tcPr>
            <w:tcW w:type="dxa" w:w="26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Aufgabe</w:t>
            </w:r>
          </w:p>
        </w:tc>
        <w:tc>
          <w:tcPr>
            <w:tcW w:type="dxa" w:w="24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Beispiele/Protokolle</w:t>
            </w:r>
          </w:p>
        </w:tc>
        <w:tc>
          <w:tcPr>
            <w:tcW w:type="dxa" w:w="16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PDU</w:t>
            </w:r>
          </w:p>
        </w:tc>
      </w:tr>
      <w:tr>
        <w:tc>
          <w:tcPr>
            <w:tcW w:type="dxa" w:w="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Anwendung / Application</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Schnittstelle für Anwendungen, stellt Netzwerkdienste bereit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HTTP, FTP, SMTP, DNS, DHCP, SSH, Telnet</w:t>
            </w:r>
          </w:p>
        </w:tc>
        <w:tc>
          <w:tcPr>
            <w:tcW w:type="dxa" w:w="1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Daten</w:t>
            </w:r>
          </w:p>
        </w:tc>
      </w:tr>
      <w:tr>
        <w:tc>
          <w:tcPr>
            <w:tcW w:type="dxa" w:w="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6</w:t>
            </w:r>
          </w:p>
        </w:tc>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Darstellung / Presentation</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Datenformat-Umwandlung, Verschlüsselung, Komprimierung</w:t>
            </w:r>
          </w:p>
        </w:tc>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SSL/TLS, JPEG, ASCII, MPEG</w:t>
            </w:r>
          </w:p>
        </w:tc>
        <w:tc>
          <w:tcPr>
            <w:tcW w:type="dxa" w:w="1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Daten</w:t>
            </w:r>
          </w:p>
        </w:tc>
      </w:tr>
      <w:tr>
        <w:tc>
          <w:tcPr>
            <w:tcW w:type="dxa" w:w="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5</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Sitzung / Session</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Auf-/Abbau und Verwaltung von Sitzungen</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NetBIOS, RPC, PPTP</w:t>
            </w:r>
          </w:p>
        </w:tc>
        <w:tc>
          <w:tcPr>
            <w:tcW w:type="dxa" w:w="1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Daten</w:t>
            </w:r>
          </w:p>
        </w:tc>
      </w:tr>
      <w:tr>
        <w:tc>
          <w:tcPr>
            <w:tcW w:type="dxa" w:w="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4</w:t>
            </w:r>
          </w:p>
        </w:tc>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Transport / Transport</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Ende-zu-Ende-Verbindung, Flusskontrolle, Fehlerkorrektur</w:t>
            </w:r>
          </w:p>
        </w:tc>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TCP (verbindungsorientiert), UDP (verbindungslos)</w:t>
            </w:r>
          </w:p>
        </w:tc>
        <w:tc>
          <w:tcPr>
            <w:tcW w:type="dxa" w:w="1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Segment/Datagramm</w:t>
            </w:r>
          </w:p>
        </w:tc>
      </w:tr>
      <w:tr>
        <w:tc>
          <w:tcPr>
            <w:tcW w:type="dxa" w:w="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3</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Vermittlung / Network</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Logische Adressierung (IP), Routing, Pfadbestimmung</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IP, ICMP, ARP, OSPF, BGP</w:t>
            </w:r>
          </w:p>
        </w:tc>
        <w:tc>
          <w:tcPr>
            <w:tcW w:type="dxa" w:w="1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Paket</w:t>
            </w:r>
          </w:p>
        </w:tc>
      </w:tr>
      <w:tr>
        <w:tc>
          <w:tcPr>
            <w:tcW w:type="dxa" w:w="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w:t>
            </w:r>
          </w:p>
        </w:tc>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Sicherung / Data Link</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Physische Adressierung (MAC), Fehlererkennung (CRC), Zugriffskontrolle</w:t>
            </w:r>
          </w:p>
        </w:tc>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Ethernet, Wi-Fi (802.11), PPP, Switch</w:t>
            </w:r>
          </w:p>
        </w:tc>
        <w:tc>
          <w:tcPr>
            <w:tcW w:type="dxa" w:w="1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Frame</w:t>
            </w:r>
          </w:p>
        </w:tc>
      </w:tr>
      <w:tr>
        <w:tc>
          <w:tcPr>
            <w:tcW w:type="dxa" w:w="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Bitübertragung / Physical</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Elektrische/optische Signalübertragung, Kabel, Stecker</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Ethernet-Kabel, Hub, Repeater, RJ-45</w:t>
            </w:r>
          </w:p>
        </w:tc>
        <w:tc>
          <w:tcPr>
            <w:tcW w:type="dxa" w:w="1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Bit</w:t>
            </w:r>
          </w:p>
        </w:tc>
      </w:tr>
    </w:tbl>
    <w:p>
      <w:pPr>
        <w:spacing w:after="80"/>
      </w:pPr>
    </w:p>
    <w:p>
      <w:pPr>
        <w:pStyle w:val="Heading2"/>
      </w:pPr>
      <w:r>
        <w:rPr>
          <w:rFonts w:ascii="Arial" w:cs="Arial" w:eastAsia="Arial" w:hAnsi="Arial"/>
          <w:b/>
          <w:bCs/>
          <w:color w:val="0066AA"/>
          <w:sz w:val="26"/>
          <w:szCs w:val="26"/>
        </w:rPr>
        <w:t xml:space="preserve">1.2 OSI vs. TCP/IP-Modell</w:t>
      </w:r>
    </w:p>
    <w:p>
      <w:pPr>
        <w:spacing w:after="120"/>
      </w:pPr>
      <w:r>
        <w:rPr>
          <w:rFonts w:ascii="Arial" w:cs="Arial" w:eastAsia="Arial" w:hAnsi="Arial"/>
          <w:sz w:val="20"/>
          <w:szCs w:val="20"/>
        </w:rPr>
        <w:t xml:space="preserve">In der Praxis wird meist das TCP/IP-Modell mit vier Schichten verwendet. Die Zuordnung ist prüfungsrelevant:</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TCP/IP-Schicht</w:t>
            </w:r>
          </w:p>
        </w:tc>
        <w:tc>
          <w:tcPr>
            <w:tcW w:type="dxa" w:w="30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OSI-Schichten</w:t>
            </w:r>
          </w:p>
        </w:tc>
        <w:tc>
          <w:tcPr>
            <w:tcW w:type="dxa" w:w="30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Protokolle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Anwendung (Application)</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 + 6 + 5</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HTTP, FTP, SMTP, DNS, SSH</w:t>
            </w:r>
          </w:p>
        </w:tc>
      </w:tr>
      <w:tr>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Transport</w:t>
            </w:r>
          </w:p>
        </w:tc>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4</w:t>
            </w:r>
          </w:p>
        </w:tc>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TCP, UDP</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Internet</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3</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IP, ICMP, ARP</w:t>
            </w:r>
          </w:p>
        </w:tc>
      </w:tr>
      <w:tr>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Netzzugang (Network Access)</w:t>
            </w:r>
          </w:p>
        </w:tc>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 + 1</w:t>
            </w:r>
          </w:p>
        </w:tc>
        <w:tc>
          <w:tcPr>
            <w:tcW w:type="dxa" w:w="3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Ethernet, Wi-Fi, PPP</w:t>
            </w:r>
          </w:p>
        </w:tc>
      </w:tr>
    </w:tbl>
    <w:p>
      <w:pPr>
        <w:spacing w:after="80"/>
      </w:pPr>
    </w:p>
    <w:p>
      <w:pPr>
        <w:pStyle w:val="Heading2"/>
      </w:pPr>
      <w:r>
        <w:rPr>
          <w:rFonts w:ascii="Arial" w:cs="Arial" w:eastAsia="Arial" w:hAnsi="Arial"/>
          <w:b/>
          <w:bCs/>
          <w:color w:val="0066AA"/>
          <w:sz w:val="26"/>
          <w:szCs w:val="26"/>
        </w:rPr>
        <w:t xml:space="preserve">1.3 Datenkapselung (Encapsulation)</w:t>
      </w:r>
    </w:p>
    <w:p>
      <w:pPr>
        <w:spacing w:after="120"/>
      </w:pPr>
      <w:r>
        <w:rPr>
          <w:rFonts w:ascii="Arial" w:cs="Arial" w:eastAsia="Arial" w:hAnsi="Arial"/>
          <w:sz w:val="20"/>
          <w:szCs w:val="20"/>
        </w:rPr>
        <w:t xml:space="preserve">Beim Senden durchlaufen Daten die Schichten von oben nach unten. Jede Schicht fügt einen Header (und ggf. Trailer) hinzu. Beim Empfangen wird dieser Prozess umgekehrt (Decapsulation). Die IHK fragt gerne nach der korrekten Reihenfolge und den Bezeichnungen der PDUs (Protocol Data Units):</w:t>
      </w:r>
    </w:p>
    <w:p>
      <w:pPr>
        <w:spacing w:after="120"/>
      </w:pPr>
      <w:r>
        <w:rPr>
          <w:rFonts w:ascii="Arial" w:cs="Arial" w:eastAsia="Arial" w:hAnsi="Arial"/>
          <w:sz w:val="20"/>
          <w:szCs w:val="20"/>
        </w:rPr>
        <w:t xml:space="preserve">Daten → Segment (TCP) / Datagramm (UDP) → Paket → Frame → Bits</w:t>
      </w: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In der AP1 werden häufig Zuordnungsaufgaben gestellt: Protokoll ↔ OSI-Schicht oder Gerät ↔ OSI-Schicht. Auch die Datenkapselung ist ein Klassiker.</w:t>
      </w:r>
    </w:p>
    <w:p>
      <w:r>
        <w:br w:type="page"/>
      </w:r>
    </w:p>
    <w:p>
      <w:pPr>
        <w:pStyle w:val="Heading1"/>
      </w:pPr>
      <w:r>
        <w:rPr>
          <w:rFonts w:ascii="Arial" w:cs="Arial" w:eastAsia="Arial" w:hAnsi="Arial"/>
          <w:b/>
          <w:bCs/>
          <w:color w:val="003366"/>
          <w:sz w:val="32"/>
          <w:szCs w:val="32"/>
        </w:rPr>
        <w:t xml:space="preserve">2. Grundlegende Protokolle</w:t>
      </w:r>
    </w:p>
    <w:p>
      <w:pPr>
        <w:spacing w:after="120"/>
      </w:pPr>
      <w:r>
        <w:rPr>
          <w:rFonts w:ascii="Arial" w:cs="Arial" w:eastAsia="Arial" w:hAnsi="Arial"/>
          <w:sz w:val="20"/>
          <w:szCs w:val="20"/>
        </w:rPr>
        <w:t xml:space="preserve">Diese Protokolle müssen Fachinformatiker kennen und deren Funktionsweise erläutern können:</w:t>
      </w:r>
    </w:p>
    <w:p>
      <w:pPr>
        <w:pStyle w:val="Heading2"/>
      </w:pPr>
      <w:r>
        <w:rPr>
          <w:rFonts w:ascii="Arial" w:cs="Arial" w:eastAsia="Arial" w:hAnsi="Arial"/>
          <w:b/>
          <w:bCs/>
          <w:color w:val="0066AA"/>
          <w:sz w:val="26"/>
          <w:szCs w:val="26"/>
        </w:rPr>
        <w:t xml:space="preserve">2.1 Netzwerkprotokolle im Detail</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1400"/>
        <w:gridCol w:w="1000"/>
        <w:gridCol w:w="4800"/>
      </w:tblGrid>
      <w:tr>
        <w:tc>
          <w:tcPr>
            <w:tcW w:type="dxa" w:w="18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Protokoll</w:t>
            </w:r>
          </w:p>
        </w:tc>
        <w:tc>
          <w:tcPr>
            <w:tcW w:type="dxa" w:w="14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Port(s)</w:t>
            </w:r>
          </w:p>
        </w:tc>
        <w:tc>
          <w:tcPr>
            <w:tcW w:type="dxa" w:w="10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Schicht</w:t>
            </w:r>
          </w:p>
        </w:tc>
        <w:tc>
          <w:tcPr>
            <w:tcW w:type="dxa" w:w="48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Funktion</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HTTP/HTTPS</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80 / 443</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Web-Kommunikation; HTTPS nutzt TLS-Verschlüsselung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FTP/SFTP</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20+21 / 22</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Dateiübertragung; SFTP über SSH-Tunnel</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SSH</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22</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Sichere Remote-Shell, Tunneling, Dateiübertragung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Telnet</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23</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Unsichere Remote-Shell (nur noch für Legacy-Geräte)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SMTP</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25 / 587</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E-Mail-Versand (587 mit STARTTLS)</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POP3/IMAP</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110 / 143</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E-Mail-Abruf; IMAP synchronisiert, POP3 lädt herunter</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DNS</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53</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Namensauflösung: Domänenname → IP-Adresse</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DHCP</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67+68</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7</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Automatische IP-Konfiguration (DORA: Discover, Offer, Request, Ack)</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TCP</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4</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Verbindungsorientiert, Drei-Wege-Handshake (SYN, SYN-ACK, ACK)</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UDP</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4</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Verbindungslos, schnell, kein Handshake (VoIP, Streaming, DNS)</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IP (IPv4/v6)</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3</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Logische Adressierung und Routing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ICMP</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t>
            </w:r>
          </w:p>
        </w:tc>
        <w:tc>
          <w:tcPr>
            <w:tcW w:type="dxa" w:w="1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3</w:t>
            </w:r>
          </w:p>
        </w:tc>
        <w:tc>
          <w:tcPr>
            <w:tcW w:type="dxa" w:w="4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Fehlermeldungen und Diagnose (Ping, Traceroute)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ARP</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t>
            </w:r>
          </w:p>
        </w:tc>
        <w:tc>
          <w:tcPr>
            <w:tcW w:type="dxa" w:w="1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2-3</w:t>
            </w:r>
          </w:p>
        </w:tc>
        <w:tc>
          <w:tcPr>
            <w:tcW w:type="dxa" w:w="4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Auflösung: IP-Adresse → MAC-Adresse</w:t>
            </w:r>
          </w:p>
        </w:tc>
      </w:tr>
    </w:tbl>
    <w:p>
      <w:pPr>
        <w:spacing w:after="80"/>
      </w:pPr>
    </w:p>
    <w:p>
      <w:pPr>
        <w:pStyle w:val="Heading2"/>
      </w:pPr>
      <w:r>
        <w:rPr>
          <w:rFonts w:ascii="Arial" w:cs="Arial" w:eastAsia="Arial" w:hAnsi="Arial"/>
          <w:b/>
          <w:bCs/>
          <w:color w:val="0066AA"/>
          <w:sz w:val="26"/>
          <w:szCs w:val="26"/>
        </w:rPr>
        <w:t xml:space="preserve">2.2 Wichtige Konzepte</w:t>
      </w:r>
    </w:p>
    <w:p>
      <w:pPr>
        <w:spacing w:after="80" w:before="160"/>
      </w:pPr>
      <w:r>
        <w:rPr>
          <w:rFonts w:ascii="Arial" w:cs="Arial" w:eastAsia="Arial" w:hAnsi="Arial"/>
          <w:b/>
          <w:bCs/>
          <w:color w:val="003366"/>
          <w:sz w:val="22"/>
          <w:szCs w:val="22"/>
        </w:rPr>
        <w:t xml:space="preserve">TCP vs. UDP</w:t>
      </w:r>
    </w:p>
    <w:p>
      <w:pPr>
        <w:spacing w:after="120"/>
      </w:pPr>
      <w:r>
        <w:rPr>
          <w:rFonts w:ascii="Arial" w:cs="Arial" w:eastAsia="Arial" w:hAnsi="Arial"/>
          <w:sz w:val="20"/>
          <w:szCs w:val="20"/>
        </w:rPr>
        <w:t xml:space="preserve">TCP ist verbindungsorientiert und zuverlässig: Drei-Wege-Handshake, Sequenznummern, Bestätigungen, Flusskontrolle. UDP ist verbindungslos und schneller, aber ohne Zuverlässigkeitsgarantie. Typische IHK-Frage: „Welches Transportprotokoll eignet sich für Videostreaming und warum?“ – Antwort: UDP, weil geringe Latenz wichtiger ist als lückenlose Übertragung.</w:t>
      </w:r>
    </w:p>
    <w:p>
      <w:pPr>
        <w:spacing w:after="80" w:before="160"/>
      </w:pPr>
      <w:r>
        <w:rPr>
          <w:rFonts w:ascii="Arial" w:cs="Arial" w:eastAsia="Arial" w:hAnsi="Arial"/>
          <w:b/>
          <w:bCs/>
          <w:color w:val="003366"/>
          <w:sz w:val="22"/>
          <w:szCs w:val="22"/>
        </w:rPr>
        <w:t xml:space="preserve">DHCP-Ablauf (DORA)</w:t>
      </w:r>
    </w:p>
    <w:p>
      <w:pPr>
        <w:spacing w:after="120"/>
      </w:pPr>
      <w:r>
        <w:rPr>
          <w:rFonts w:ascii="Arial" w:cs="Arial" w:eastAsia="Arial" w:hAnsi="Arial"/>
          <w:sz w:val="20"/>
          <w:szCs w:val="20"/>
        </w:rPr>
        <w:t xml:space="preserve">1. Discover: Client sendet Broadcast. 2. Offer: Server bietet IP an. 3. Request: Client akzeptiert. 4. Acknowledge: Server bestätigt. Der Client erhält IP-Adresse, Subnetzmaske, Default Gateway und DNS-Server.</w:t>
      </w:r>
    </w:p>
    <w:p>
      <w:pPr>
        <w:spacing w:after="80" w:before="160"/>
      </w:pPr>
      <w:r>
        <w:rPr>
          <w:rFonts w:ascii="Arial" w:cs="Arial" w:eastAsia="Arial" w:hAnsi="Arial"/>
          <w:b/>
          <w:bCs/>
          <w:color w:val="003366"/>
          <w:sz w:val="22"/>
          <w:szCs w:val="22"/>
        </w:rPr>
        <w:t xml:space="preserve">DNS-Auflösung</w:t>
      </w:r>
    </w:p>
    <w:p>
      <w:pPr>
        <w:spacing w:after="120"/>
      </w:pPr>
      <w:r>
        <w:rPr>
          <w:rFonts w:ascii="Arial" w:cs="Arial" w:eastAsia="Arial" w:hAnsi="Arial"/>
          <w:sz w:val="20"/>
          <w:szCs w:val="20"/>
        </w:rPr>
        <w:t xml:space="preserve">Rekursive Abfrage: Client fragt lokalen DNS-Server, dieser fragt Root-Server → TLD-Server → Autoritärer Server. Wichtige Record-Typen: A (IPv4), AAAA (IPv6), CNAME (Alias), MX (Mailserver), PTR (Reverse), NS (Nameserver), TXT (z.B. SPF).</w:t>
      </w: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Portnummern sind absolute IHK-Klassiker! Mindestens HTTP(S), FTP, SSH, DNS, DHCP, SMTP, IMAP/POP3 auswendig kennen.</w:t>
      </w:r>
    </w:p>
    <w:p>
      <w:r>
        <w:br w:type="page"/>
      </w:r>
    </w:p>
    <w:p>
      <w:pPr>
        <w:pStyle w:val="Heading1"/>
      </w:pPr>
      <w:r>
        <w:rPr>
          <w:rFonts w:ascii="Arial" w:cs="Arial" w:eastAsia="Arial" w:hAnsi="Arial"/>
          <w:b/>
          <w:bCs/>
          <w:color w:val="003366"/>
          <w:sz w:val="32"/>
          <w:szCs w:val="32"/>
        </w:rPr>
        <w:t xml:space="preserve">3. Daten- und Netzwerksicherheit</w:t>
      </w:r>
    </w:p>
    <w:p>
      <w:pPr>
        <w:pStyle w:val="Heading2"/>
      </w:pPr>
      <w:r>
        <w:rPr>
          <w:rFonts w:ascii="Arial" w:cs="Arial" w:eastAsia="Arial" w:hAnsi="Arial"/>
          <w:b/>
          <w:bCs/>
          <w:color w:val="0066AA"/>
          <w:sz w:val="26"/>
          <w:szCs w:val="26"/>
        </w:rPr>
        <w:t xml:space="preserve">3.1 Speichertechnologien: SAN vs. NAS</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500"/>
      </w:tblGrid>
      <w:tr>
        <w:tc>
          <w:tcPr>
            <w:tcW w:type="dxa" w:w="20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Merkmal</w:t>
            </w:r>
          </w:p>
        </w:tc>
        <w:tc>
          <w:tcPr>
            <w:tcW w:type="dxa" w:w="35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NAS (Network Attached Storage)</w:t>
            </w:r>
          </w:p>
        </w:tc>
        <w:tc>
          <w:tcPr>
            <w:tcW w:type="dxa" w:w="35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SAN (Storage Area Network)</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Zugriff</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Dateibasiert (über Netzwerk)</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Blockbasiert (eigenes Netz)</w:t>
            </w:r>
          </w:p>
        </w:tc>
      </w:tr>
      <w:tr>
        <w:tc>
          <w:tcPr>
            <w:tcW w:type="dxa" w:w="2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Protokolle</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SMB/CIFS, NFS, AFP</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iSCSI, Fibre Channel</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Netzwerk</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Normales LAN (Ethernet)</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Eigenes Speichernetzwerk</w:t>
            </w:r>
          </w:p>
        </w:tc>
      </w:tr>
      <w:tr>
        <w:tc>
          <w:tcPr>
            <w:tcW w:type="dxa" w:w="2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Performance</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Gut für Dateizugriff</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Sehr hoch, geringe Latenz</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Kosten</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Günstiger, einfache Einrichtung</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Teuer, komplexe Infrastruktur</w:t>
            </w:r>
          </w:p>
        </w:tc>
      </w:tr>
      <w:tr>
        <w:tc>
          <w:tcPr>
            <w:tcW w:type="dxa" w:w="2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Einsatz</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KMU, Dateifreigaben, Backup</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Rechenzentren, Datenbanken, Virtualisierung</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Skalierung</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Begrenzt (einzelnes Gerät)</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Hoch skalierbar</w:t>
            </w:r>
          </w:p>
        </w:tc>
      </w:tr>
      <w:tr>
        <w:tc>
          <w:tcPr>
            <w:tcW w:type="dxa" w:w="20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Betriebssystem-Sicht</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Netzlaufwerk</w:t>
            </w:r>
          </w:p>
        </w:tc>
        <w:tc>
          <w:tcPr>
            <w:tcW w:type="dxa" w:w="35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Lokale Festplatte</w:t>
            </w:r>
          </w:p>
        </w:tc>
      </w:tr>
    </w:tbl>
    <w:p>
      <w:pPr>
        <w:spacing w:after="80"/>
      </w:pPr>
    </w:p>
    <w:p>
      <w:pPr>
        <w:pStyle w:val="Heading2"/>
      </w:pPr>
      <w:r>
        <w:rPr>
          <w:rFonts w:ascii="Arial" w:cs="Arial" w:eastAsia="Arial" w:hAnsi="Arial"/>
          <w:b/>
          <w:bCs/>
          <w:color w:val="0066AA"/>
          <w:sz w:val="26"/>
          <w:szCs w:val="26"/>
        </w:rPr>
        <w:t xml:space="preserve">3.2 RAID-Level</w:t>
      </w:r>
    </w:p>
    <w:p>
      <w:pPr>
        <w:spacing w:after="120"/>
      </w:pPr>
      <w:r>
        <w:rPr>
          <w:rFonts w:ascii="Arial" w:cs="Arial" w:eastAsia="Arial" w:hAnsi="Arial"/>
          <w:sz w:val="20"/>
          <w:szCs w:val="20"/>
        </w:rPr>
        <w:t xml:space="preserve">RAID (Redundant Array of Independent Disks) erhöht Ausfallsicherheit und/oder Performance. IHK-relevant sind vor allem RAID 0, 1, 5, 6 und 10:</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1700"/>
        <w:gridCol w:w="1200"/>
        <w:gridCol w:w="1800"/>
        <w:gridCol w:w="1400"/>
        <w:gridCol w:w="2200"/>
      </w:tblGrid>
      <w:tr>
        <w:tc>
          <w:tcPr>
            <w:tcW w:type="dxa" w:w="7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RAID</w:t>
            </w:r>
          </w:p>
        </w:tc>
        <w:tc>
          <w:tcPr>
            <w:tcW w:type="dxa" w:w="17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Bezeichnung</w:t>
            </w:r>
          </w:p>
        </w:tc>
        <w:tc>
          <w:tcPr>
            <w:tcW w:type="dxa" w:w="1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Min. Platten</w:t>
            </w:r>
          </w:p>
        </w:tc>
        <w:tc>
          <w:tcPr>
            <w:tcW w:type="dxa" w:w="18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Redundanz</w:t>
            </w:r>
          </w:p>
        </w:tc>
        <w:tc>
          <w:tcPr>
            <w:tcW w:type="dxa" w:w="14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Nutzkapazität</w:t>
            </w:r>
          </w:p>
        </w:tc>
        <w:tc>
          <w:tcPr>
            <w:tcW w:type="dxa" w:w="2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Besonderheiten</w:t>
            </w:r>
          </w:p>
        </w:tc>
      </w:tr>
      <w:tr>
        <w:tc>
          <w:tcPr>
            <w:tcW w:type="dxa" w:w="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0</w:t>
            </w:r>
          </w:p>
        </w:tc>
        <w:tc>
          <w:tcPr>
            <w:tcW w:type="dxa" w:w="1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Striping</w:t>
            </w:r>
          </w:p>
        </w:tc>
        <w:tc>
          <w:tcPr>
            <w:tcW w:type="dxa" w:w="1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2</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Keine!</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100%</w:t>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Nur Performance, kein Schutz – Totalverlust bei 1 Ausfall</w:t>
            </w:r>
          </w:p>
        </w:tc>
      </w:tr>
      <w:tr>
        <w:tc>
          <w:tcPr>
            <w:tcW w:type="dxa" w:w="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w:t>
            </w:r>
          </w:p>
        </w:tc>
        <w:tc>
          <w:tcPr>
            <w:tcW w:type="dxa" w:w="1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Mirroring</w:t>
            </w:r>
          </w:p>
        </w:tc>
        <w:tc>
          <w:tcPr>
            <w:tcW w:type="dxa" w:w="1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w:t>
            </w:r>
          </w:p>
        </w:tc>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Platte darf ausfallen</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50%</w:t>
            </w:r>
          </w:p>
        </w:tc>
        <w:tc>
          <w:tcPr>
            <w:tcW w:type="dxa" w:w="2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Einfach, sicher, aber teuer (halbe Kapazität)</w:t>
            </w:r>
          </w:p>
        </w:tc>
      </w:tr>
      <w:tr>
        <w:tc>
          <w:tcPr>
            <w:tcW w:type="dxa" w:w="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5</w:t>
            </w:r>
          </w:p>
        </w:tc>
        <w:tc>
          <w:tcPr>
            <w:tcW w:type="dxa" w:w="1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Striping + Parität</w:t>
            </w:r>
          </w:p>
        </w:tc>
        <w:tc>
          <w:tcPr>
            <w:tcW w:type="dxa" w:w="1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3</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Platte darf ausfallen</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(n-1)/n</w:t>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Guter Kompromiss aus Sicherheit und Kapazität</w:t>
            </w:r>
          </w:p>
        </w:tc>
      </w:tr>
      <w:tr>
        <w:tc>
          <w:tcPr>
            <w:tcW w:type="dxa" w:w="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6</w:t>
            </w:r>
          </w:p>
        </w:tc>
        <w:tc>
          <w:tcPr>
            <w:tcW w:type="dxa" w:w="1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Doppelte Parität</w:t>
            </w:r>
          </w:p>
        </w:tc>
        <w:tc>
          <w:tcPr>
            <w:tcW w:type="dxa" w:w="1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4</w:t>
            </w:r>
          </w:p>
        </w:tc>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2 Platten dürfen ausfallen</w:t>
            </w:r>
          </w:p>
        </w:tc>
        <w:tc>
          <w:tcPr>
            <w:tcW w:type="dxa" w:w="1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(n-2)/n</w:t>
            </w:r>
          </w:p>
        </w:tc>
        <w:tc>
          <w:tcPr>
            <w:tcW w:type="dxa" w:w="2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Wie RAID 5, aber höhere Sicherheit</w:t>
            </w:r>
          </w:p>
        </w:tc>
      </w:tr>
      <w:tr>
        <w:tc>
          <w:tcPr>
            <w:tcW w:type="dxa" w:w="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w:t>
            </w:r>
          </w:p>
        </w:tc>
        <w:tc>
          <w:tcPr>
            <w:tcW w:type="dxa" w:w="1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Mirroring + Striping</w:t>
            </w:r>
          </w:p>
        </w:tc>
        <w:tc>
          <w:tcPr>
            <w:tcW w:type="dxa" w:w="1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4</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pro Spiegel-Paar</w:t>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50%</w:t>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Kombiniert Performance (RAID 0) und Sicherheit (RAID 1)</w:t>
            </w:r>
          </w:p>
        </w:tc>
      </w:tr>
    </w:tbl>
    <w:p>
      <w:pPr>
        <w:spacing w:after="80"/>
      </w:pPr>
    </w:p>
    <w:p>
      <w:pPr>
        <w:spacing w:after="80" w:before="160"/>
      </w:pPr>
      <w:r>
        <w:rPr>
          <w:rFonts w:ascii="Arial" w:cs="Arial" w:eastAsia="Arial" w:hAnsi="Arial"/>
          <w:b/>
          <w:bCs/>
          <w:color w:val="003366"/>
          <w:sz w:val="22"/>
          <w:szCs w:val="22"/>
        </w:rPr>
        <w:t xml:space="preserve">RAID-Kapazitätsberechnung (IHK-relevant!)</w:t>
      </w:r>
    </w:p>
    <w:p>
      <w:pPr>
        <w:spacing w:after="120"/>
      </w:pPr>
      <w:r>
        <w:rPr>
          <w:rFonts w:ascii="Arial" w:cs="Arial" w:eastAsia="Arial" w:hAnsi="Arial"/>
          <w:sz w:val="20"/>
          <w:szCs w:val="20"/>
        </w:rPr>
        <w:t xml:space="preserve">RAID 0: n × kleinste Platte. RAID 1: 1 × kleinste Platte. RAID 5: (n-1) × kleinste Platte. RAID 6: (n-2) × kleinste Platte. RAID 10: (n/2) × kleinste Platte. Beispiel: 4 Platten à 2 TB in RAID 5 = (4-1) × 2 TB = 6 TB nutzbar.</w:t>
      </w: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Die IHK fragt gerne nach konkreten Berechnungen: „Wie viel Nettokapazität bietet ein RAID-5-Verbund aus 5 Festplatten à 4 TB?“ Antwort: (5-1) × 4 = 16 TB.</w:t>
      </w:r>
    </w:p>
    <w:p>
      <w:pPr>
        <w:pStyle w:val="Heading2"/>
      </w:pPr>
      <w:r>
        <w:rPr>
          <w:rFonts w:ascii="Arial" w:cs="Arial" w:eastAsia="Arial" w:hAnsi="Arial"/>
          <w:b/>
          <w:bCs/>
          <w:color w:val="0066AA"/>
          <w:sz w:val="26"/>
          <w:szCs w:val="26"/>
        </w:rPr>
        <w:t xml:space="preserve">3.3 WLAN-Sicherung: PSK vs. RADIUS</w:t>
      </w:r>
    </w:p>
    <w:p>
      <w:pPr>
        <w:spacing w:after="80" w:before="160"/>
      </w:pPr>
      <w:r>
        <w:rPr>
          <w:rFonts w:ascii="Arial" w:cs="Arial" w:eastAsia="Arial" w:hAnsi="Arial"/>
          <w:b/>
          <w:bCs/>
          <w:color w:val="003366"/>
          <w:sz w:val="22"/>
          <w:szCs w:val="22"/>
        </w:rPr>
        <w:t xml:space="preserve">WPA2/WPA3-Personal (PSK – Pre-Shared Key)</w:t>
      </w:r>
    </w:p>
    <w:p>
      <w:pPr>
        <w:spacing w:after="120"/>
      </w:pPr>
      <w:r>
        <w:rPr>
          <w:rFonts w:ascii="Arial" w:cs="Arial" w:eastAsia="Arial" w:hAnsi="Arial"/>
          <w:sz w:val="20"/>
          <w:szCs w:val="20"/>
        </w:rPr>
        <w:t xml:space="preserve">Alle Geräte nutzen dasselbe Passwort (den Pre-Shared Key). Einfach einzurichten, geeignet für kleine Netze und Privatanwender. Nachteil: Wird das Passwort kompromittiert, müssen alle Geräte neu konfiguriert werden. Kein individuelles Nutzer-Tracking möglich.</w:t>
      </w:r>
    </w:p>
    <w:p>
      <w:pPr>
        <w:spacing w:after="80" w:before="160"/>
      </w:pPr>
      <w:r>
        <w:rPr>
          <w:rFonts w:ascii="Arial" w:cs="Arial" w:eastAsia="Arial" w:hAnsi="Arial"/>
          <w:b/>
          <w:bCs/>
          <w:color w:val="003366"/>
          <w:sz w:val="22"/>
          <w:szCs w:val="22"/>
        </w:rPr>
        <w:t xml:space="preserve">WPA2/WPA3-Enterprise (RADIUS / 802.1X)</w:t>
      </w:r>
    </w:p>
    <w:p>
      <w:pPr>
        <w:spacing w:after="120"/>
      </w:pPr>
      <w:r>
        <w:rPr>
          <w:rFonts w:ascii="Arial" w:cs="Arial" w:eastAsia="Arial" w:hAnsi="Arial"/>
          <w:sz w:val="20"/>
          <w:szCs w:val="20"/>
        </w:rPr>
        <w:t xml:space="preserve">Jeder Nutzer authentifiziert sich individuell mit eigenem Benutzernamen und Passwort (oder Zertifikat) über einen RADIUS-Server. Der Access Point leitet die Authentifizierung an den RADIUS-Server weiter. EAP (Extensible Authentication Protocol) wird als Rahmenprotokoll verwendet. Varianten: EAP-TLS (Zertifikate), PEAP (Passwort + Serverzertifikat), EAP-TTLS.</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300"/>
        <w:gridCol w:w="3300"/>
      </w:tblGrid>
      <w:tr>
        <w:tc>
          <w:tcPr>
            <w:tcW w:type="dxa" w:w="24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Merkmal</w:t>
            </w:r>
          </w:p>
        </w:tc>
        <w:tc>
          <w:tcPr>
            <w:tcW w:type="dxa" w:w="33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PSK (Personal)</w:t>
            </w:r>
          </w:p>
        </w:tc>
        <w:tc>
          <w:tcPr>
            <w:tcW w:type="dxa" w:w="33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RADIUS (Enterprise)</w:t>
            </w:r>
          </w:p>
        </w:tc>
      </w:tr>
      <w:tr>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Authentifizierung</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Gemeinsamer Schlüssel</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Individuelle Benutzerkonten</w:t>
            </w:r>
          </w:p>
        </w:tc>
      </w:tr>
      <w:tr>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Infrastruktur</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Nur Access Point</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RADIUS-Server + evtl. CA</w:t>
            </w:r>
          </w:p>
        </w:tc>
      </w:tr>
      <w:tr>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Sicherheit</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Mittel (abh. von Passwortstärke)</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Hoch (individuelle Credentials)</w:t>
            </w:r>
          </w:p>
        </w:tc>
      </w:tr>
      <w:tr>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Verwaltung</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Einfach</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Komplex, aber zentral steuerbar</w:t>
            </w:r>
          </w:p>
        </w:tc>
      </w:tr>
      <w:tr>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Nutzer-Tracking</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Nicht möglich</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Nachvollziehbar pro User</w:t>
            </w:r>
          </w:p>
        </w:tc>
      </w:tr>
      <w:tr>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Einsatz</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Privatnutzer, kleine Büros</w:t>
            </w:r>
          </w:p>
        </w:tc>
        <w:tc>
          <w:tcPr>
            <w:tcW w:type="dxa" w:w="33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Unternehmen, öffentliche Einrichtungen</w:t>
            </w:r>
          </w:p>
        </w:tc>
      </w:tr>
      <w:tr>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Bei Mitarbeiteraustritt</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Passwort ändern für alle</w:t>
            </w:r>
          </w:p>
        </w:tc>
        <w:tc>
          <w:tcPr>
            <w:tcW w:type="dxa" w:w="3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Nur diesen Account deaktivieren</w:t>
            </w:r>
          </w:p>
        </w:tc>
      </w:tr>
    </w:tbl>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Typische IHK-Frage: „Ein Unternehmen mit 200 Mitarbeitern möchte WLAN einrichten. Welche Authentifizierungsmethode empfehlen Sie und warum?“ – Antwort: WPA2/WPA3-Enterprise mit RADIUS, weil individuelle Benutzerkonten, zentrales Management und Nachvollziehbarkeit gewährleistet sind.</w:t>
      </w:r>
    </w:p>
    <w:p>
      <w:r>
        <w:br w:type="page"/>
      </w:r>
    </w:p>
    <w:p>
      <w:pPr>
        <w:pStyle w:val="Heading1"/>
      </w:pPr>
      <w:r>
        <w:rPr>
          <w:rFonts w:ascii="Arial" w:cs="Arial" w:eastAsia="Arial" w:hAnsi="Arial"/>
          <w:b/>
          <w:bCs/>
          <w:color w:val="003366"/>
          <w:sz w:val="32"/>
          <w:szCs w:val="32"/>
        </w:rPr>
        <w:t xml:space="preserve">4. Netzwerke dokumentieren</w:t>
      </w:r>
    </w:p>
    <w:p>
      <w:pPr>
        <w:spacing w:after="120"/>
      </w:pPr>
      <w:r>
        <w:rPr>
          <w:rFonts w:ascii="Arial" w:cs="Arial" w:eastAsia="Arial" w:hAnsi="Arial"/>
          <w:sz w:val="20"/>
          <w:szCs w:val="20"/>
        </w:rPr>
        <w:t xml:space="preserve">Eine vollständige Netzwerkdokumentation ist essenziell für Betrieb, Wartung und Fehlersuche. In der IHK-Prüfung wird erwartet, dass Fachinformatiker Netzwerkpläne erstellen und interpretieren können.</w:t>
      </w:r>
    </w:p>
    <w:p>
      <w:pPr>
        <w:pStyle w:val="Heading2"/>
      </w:pPr>
      <w:r>
        <w:rPr>
          <w:rFonts w:ascii="Arial" w:cs="Arial" w:eastAsia="Arial" w:hAnsi="Arial"/>
          <w:b/>
          <w:bCs/>
          <w:color w:val="0066AA"/>
          <w:sz w:val="26"/>
          <w:szCs w:val="26"/>
        </w:rPr>
        <w:t xml:space="preserve">4.1 Bestandteile einer Netzwerkdokumentation</w:t>
      </w:r>
    </w:p>
    <w:p>
      <w:pPr>
        <w:spacing w:after="120"/>
      </w:pPr>
      <w:r>
        <w:rPr>
          <w:rFonts w:ascii="Arial" w:cs="Arial" w:eastAsia="Arial" w:hAnsi="Arial"/>
          <w:sz w:val="20"/>
          <w:szCs w:val="20"/>
        </w:rPr>
        <w:t xml:space="preserve">Physischer Netzwerkplan (zeigt reale Verkabelung, Gerätestandorte, Patchfelder, Serverschränke), logischer Netzwerkplan (zeigt IP-Adressbereiche, VLANs, Subnetze, Routing), IP-Adressplan (tabellarische Übersicht aller vergebenen IP-Adressen, Subnetze, Gateways), Geräteinventar (Hersteller, Modell, Seriennummer, Standort, Firmware-Version), Konfigurationsdokumentation (Router/Switch/Firewall-Konfigurationen), Port-Belegungsplan (welche Ports an Switches belegt sind und wohin sie führen).</w:t>
      </w:r>
    </w:p>
    <w:p>
      <w:pPr>
        <w:pStyle w:val="Heading2"/>
      </w:pPr>
      <w:r>
        <w:rPr>
          <w:rFonts w:ascii="Arial" w:cs="Arial" w:eastAsia="Arial" w:hAnsi="Arial"/>
          <w:b/>
          <w:bCs/>
          <w:color w:val="0066AA"/>
          <w:sz w:val="26"/>
          <w:szCs w:val="26"/>
        </w:rPr>
        <w:t xml:space="preserve">4.2 Werkzeuge und Symbole</w:t>
      </w:r>
    </w:p>
    <w:p>
      <w:pPr>
        <w:spacing w:after="120"/>
      </w:pPr>
      <w:r>
        <w:rPr>
          <w:rFonts w:ascii="Arial" w:cs="Arial" w:eastAsia="Arial" w:hAnsi="Arial"/>
          <w:sz w:val="20"/>
          <w:szCs w:val="20"/>
        </w:rPr>
        <w:t xml:space="preserve">Standardisierte Symbole verwenden: Router (Kreis mit Kreuz/Pfeilen), Switch (Rechteck mit Pfeilen), Firewall (Wand mit Flamme), Server (Tower/Rack-Symbol), Cloud (Internet/WAN). Gängige Tools: Microsoft Visio, draw.io (diagrams.net), Cisco Packet Tracer, Netzwerkscanner (nmap, Angry IP Scanner).</w:t>
      </w:r>
    </w:p>
    <w:p>
      <w:pPr>
        <w:pStyle w:val="Heading2"/>
      </w:pPr>
      <w:r>
        <w:rPr>
          <w:rFonts w:ascii="Arial" w:cs="Arial" w:eastAsia="Arial" w:hAnsi="Arial"/>
          <w:b/>
          <w:bCs/>
          <w:color w:val="0066AA"/>
          <w:sz w:val="26"/>
          <w:szCs w:val="26"/>
        </w:rPr>
        <w:t xml:space="preserve">4.3 Strukturierte Verkabelung</w:t>
      </w:r>
    </w:p>
    <w:p>
      <w:pPr>
        <w:spacing w:after="120"/>
      </w:pPr>
      <w:r>
        <w:rPr>
          <w:rFonts w:ascii="Arial" w:cs="Arial" w:eastAsia="Arial" w:hAnsi="Arial"/>
          <w:sz w:val="20"/>
          <w:szCs w:val="20"/>
        </w:rPr>
        <w:t xml:space="preserve">Die strukturierte Verkabelung nach EN 50173 gliedert sich in drei Bereiche: Primärbereich (Gebäudeübergreifend, Backbone zwischen Standorten), Sekundärbereich (Stockwerksübergreifend, Steigleitungen), Tertiärbereich (Etagenverkabelung, Anschlussdosen bis Etagenverteiler). Jeder Bereich hat eigene Anforderungen an Kabeltypen und Längen.</w:t>
      </w: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Dokumentation ist auch in der Projektarbeit (AP2) wichtig! Ein sauberer Netzwerkplan im Projektbericht zeigt Professionalität.</w:t>
      </w:r>
    </w:p>
    <w:p>
      <w:r>
        <w:br w:type="page"/>
      </w:r>
    </w:p>
    <w:p>
      <w:pPr>
        <w:pStyle w:val="Heading1"/>
      </w:pPr>
      <w:r>
        <w:rPr>
          <w:rFonts w:ascii="Arial" w:cs="Arial" w:eastAsia="Arial" w:hAnsi="Arial"/>
          <w:b/>
          <w:bCs/>
          <w:color w:val="003366"/>
          <w:sz w:val="32"/>
          <w:szCs w:val="32"/>
        </w:rPr>
        <w:t xml:space="preserve">5. Datenübertragungsraten und Datenmengen</w:t>
      </w:r>
    </w:p>
    <w:p>
      <w:pPr>
        <w:spacing w:after="120"/>
      </w:pPr>
      <w:r>
        <w:rPr>
          <w:rFonts w:ascii="Arial" w:cs="Arial" w:eastAsia="Arial" w:hAnsi="Arial"/>
          <w:sz w:val="20"/>
          <w:szCs w:val="20"/>
        </w:rPr>
        <w:t xml:space="preserve">Die korrekte Umrechnung zwischen Einheiten und die Berechnung von Übertragungszeiten ist ein häufiges IHK-Thema.</w:t>
      </w:r>
    </w:p>
    <w:p>
      <w:pPr>
        <w:pStyle w:val="Heading2"/>
      </w:pPr>
      <w:r>
        <w:rPr>
          <w:rFonts w:ascii="Arial" w:cs="Arial" w:eastAsia="Arial" w:hAnsi="Arial"/>
          <w:b/>
          <w:bCs/>
          <w:color w:val="0066AA"/>
          <w:sz w:val="26"/>
          <w:szCs w:val="26"/>
        </w:rPr>
        <w:t xml:space="preserve">5.1 Einheiten – Bits vs. Bytes</w:t>
      </w:r>
    </w:p>
    <w:p>
      <w:pPr>
        <w:spacing w:after="120"/>
      </w:pPr>
      <w:r>
        <w:rPr>
          <w:rFonts w:ascii="Arial" w:cs="Arial" w:eastAsia="Arial" w:hAnsi="Arial"/>
          <w:sz w:val="20"/>
          <w:szCs w:val="20"/>
        </w:rPr>
        <w:t xml:space="preserve">1 Byte = 8 Bit. Datenübertragungsraten werden in Bit/s angegeben (kbit/s, Mbit/s, Gbit/s). Datengrößen werden in Byte angegeben (KB, MB, GB, TB). Achtung: Groß- und Kleinschreibung ist entscheidend! b = Bit, B = Byte. Mb = Megabit, MB = Megabyte.</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2700"/>
        <w:gridCol w:w="2700"/>
        <w:gridCol w:w="2400"/>
      </w:tblGrid>
      <w:tr>
        <w:tc>
          <w:tcPr>
            <w:tcW w:type="dxa" w:w="1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Einheit</w:t>
            </w:r>
          </w:p>
        </w:tc>
        <w:tc>
          <w:tcPr>
            <w:tcW w:type="dxa" w:w="27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Binär (IEC)</w:t>
            </w:r>
          </w:p>
        </w:tc>
        <w:tc>
          <w:tcPr>
            <w:tcW w:type="dxa" w:w="27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Dezimal (SI)</w:t>
            </w:r>
          </w:p>
        </w:tc>
        <w:tc>
          <w:tcPr>
            <w:tcW w:type="dxa" w:w="24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Umrechnung</w:t>
            </w:r>
          </w:p>
        </w:tc>
      </w:tr>
      <w:tr>
        <w:tc>
          <w:tcPr>
            <w:tcW w:type="dxa" w:w="1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Kilo</w:t>
            </w:r>
          </w:p>
        </w:tc>
        <w:tc>
          <w:tcPr>
            <w:tcW w:type="dxa" w:w="2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KiB = 1.024 Byte</w:t>
            </w:r>
          </w:p>
        </w:tc>
        <w:tc>
          <w:tcPr>
            <w:tcW w:type="dxa" w:w="2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KB = 1.000 Byte</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Faktor 1.024 vs. 1.000</w:t>
            </w:r>
          </w:p>
        </w:tc>
      </w:tr>
      <w:tr>
        <w:tc>
          <w:tcPr>
            <w:tcW w:type="dxa" w:w="1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Mega</w:t>
            </w:r>
          </w:p>
        </w:tc>
        <w:tc>
          <w:tcPr>
            <w:tcW w:type="dxa" w:w="2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MiB = 1.048.576 Byte</w:t>
            </w:r>
          </w:p>
        </w:tc>
        <w:tc>
          <w:tcPr>
            <w:tcW w:type="dxa" w:w="2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MB = 1.000.000 Byte</w:t>
            </w:r>
          </w:p>
        </w:tc>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MiB ≈ 1,049 MB</w:t>
            </w:r>
          </w:p>
        </w:tc>
      </w:tr>
      <w:tr>
        <w:tc>
          <w:tcPr>
            <w:tcW w:type="dxa" w:w="1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Giga</w:t>
            </w:r>
          </w:p>
        </w:tc>
        <w:tc>
          <w:tcPr>
            <w:tcW w:type="dxa" w:w="2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GiB = 1.073.741.824 Byte</w:t>
            </w:r>
          </w:p>
        </w:tc>
        <w:tc>
          <w:tcPr>
            <w:tcW w:type="dxa" w:w="27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GB = 1.000.000.000 Byte</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GiB ≈ 1,074 GB</w:t>
            </w:r>
          </w:p>
        </w:tc>
      </w:tr>
      <w:tr>
        <w:tc>
          <w:tcPr>
            <w:tcW w:type="dxa" w:w="1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Tera</w:t>
            </w:r>
          </w:p>
        </w:tc>
        <w:tc>
          <w:tcPr>
            <w:tcW w:type="dxa" w:w="2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TiB = 1.099.511.627.776 Byte</w:t>
            </w:r>
          </w:p>
        </w:tc>
        <w:tc>
          <w:tcPr>
            <w:tcW w:type="dxa" w:w="27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TB = 1.000.000.000.000 Byte</w:t>
            </w:r>
          </w:p>
        </w:tc>
        <w:tc>
          <w:tcPr>
            <w:tcW w:type="dxa" w:w="24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TiB ≈ 1,1 TB</w:t>
            </w:r>
          </w:p>
        </w:tc>
      </w:tr>
    </w:tbl>
    <w:p>
      <w:pPr>
        <w:spacing w:after="80"/>
      </w:pPr>
    </w:p>
    <w:p>
      <w:pPr>
        <w:pStyle w:val="Heading2"/>
      </w:pPr>
      <w:r>
        <w:rPr>
          <w:rFonts w:ascii="Arial" w:cs="Arial" w:eastAsia="Arial" w:hAnsi="Arial"/>
          <w:b/>
          <w:bCs/>
          <w:color w:val="0066AA"/>
          <w:sz w:val="26"/>
          <w:szCs w:val="26"/>
        </w:rPr>
        <w:t xml:space="preserve">5.2 Berechnungsformeln</w:t>
      </w:r>
    </w:p>
    <w:p>
      <w:pPr>
        <w:spacing w:after="80" w:before="160"/>
      </w:pPr>
      <w:r>
        <w:rPr>
          <w:rFonts w:ascii="Arial" w:cs="Arial" w:eastAsia="Arial" w:hAnsi="Arial"/>
          <w:b/>
          <w:bCs/>
          <w:color w:val="003366"/>
          <w:sz w:val="22"/>
          <w:szCs w:val="22"/>
        </w:rPr>
        <w:t xml:space="preserve">Übertragungszeit</w:t>
      </w:r>
    </w:p>
    <w:p>
      <w:pPr>
        <w:spacing w:after="120"/>
      </w:pPr>
      <w:r>
        <w:rPr>
          <w:rFonts w:ascii="Arial" w:cs="Arial" w:eastAsia="Arial" w:hAnsi="Arial"/>
          <w:sz w:val="20"/>
          <w:szCs w:val="20"/>
        </w:rPr>
        <w:t xml:space="preserve">t = Datenmenge / Übertragungsrate. Wichtig: Einheiten angleichen! Datenmenge in Bit umrechnen ODER Rate in Byte/s umrechnen.</w:t>
      </w:r>
    </w:p>
    <w:p>
      <w:pPr>
        <w:spacing w:after="80" w:before="160"/>
      </w:pPr>
      <w:r>
        <w:rPr>
          <w:rFonts w:ascii="Arial" w:cs="Arial" w:eastAsia="Arial" w:hAnsi="Arial"/>
          <w:b/>
          <w:bCs/>
          <w:color w:val="003366"/>
          <w:sz w:val="22"/>
          <w:szCs w:val="22"/>
        </w:rPr>
        <w:t xml:space="preserve">Beispielrechnung</w:t>
      </w:r>
    </w:p>
    <w:p>
      <w:pPr>
        <w:spacing w:after="120"/>
      </w:pPr>
      <w:r>
        <w:rPr>
          <w:rFonts w:ascii="Arial" w:cs="Arial" w:eastAsia="Arial" w:hAnsi="Arial"/>
          <w:sz w:val="20"/>
          <w:szCs w:val="20"/>
        </w:rPr>
        <w:t xml:space="preserve">Frage: Wie lange dauert die Übertragung einer 2 GiB großen Datei über eine 100 Mbit/s-Leitung?</w:t>
      </w:r>
    </w:p>
    <w:p>
      <w:pPr>
        <w:spacing w:after="120"/>
      </w:pPr>
      <w:r>
        <w:rPr>
          <w:rFonts w:ascii="Arial" w:cs="Arial" w:eastAsia="Arial" w:hAnsi="Arial"/>
          <w:sz w:val="20"/>
          <w:szCs w:val="20"/>
        </w:rPr>
        <w:t xml:space="preserve">Lösung: 2 GiB = 2 × 1.024 × 1.024 × 1.024 Byte = 2.147.483.648 Byte = 2.147.483.648 × 8 Bit = 17.179.869.184 Bit. 100 Mbit/s = 100.000.000 Bit/s. t = 17.179.869.184 / 100.000.000 = 171,8 Sekunden ≈ 2 Min. 52 Sek.</w:t>
      </w:r>
    </w:p>
    <w:p>
      <w:pPr>
        <w:spacing w:after="80" w:before="160"/>
      </w:pPr>
      <w:r>
        <w:rPr>
          <w:rFonts w:ascii="Arial" w:cs="Arial" w:eastAsia="Arial" w:hAnsi="Arial"/>
          <w:b/>
          <w:bCs/>
          <w:color w:val="003366"/>
          <w:sz w:val="22"/>
          <w:szCs w:val="22"/>
        </w:rPr>
        <w:t xml:space="preserve">Netto- vs. Bruttodatenrate</w:t>
      </w:r>
    </w:p>
    <w:p>
      <w:pPr>
        <w:spacing w:after="120"/>
      </w:pPr>
      <w:r>
        <w:rPr>
          <w:rFonts w:ascii="Arial" w:cs="Arial" w:eastAsia="Arial" w:hAnsi="Arial"/>
          <w:sz w:val="20"/>
          <w:szCs w:val="20"/>
        </w:rPr>
        <w:t xml:space="preserve">Die Bruttodatenrate enthält Overhead (Header, Prüfsummen, Protokoll-Daten). Die Nettodatenrate ist die tatsächlich nutzbare Bandbreite. Typischer Overhead bei Ethernet: ca. 3-5%. Bei der IHK-Prüfung immer auf die Aufgabenstellung achten, ob Brutto oder Netto gemeint ist!</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600"/>
      </w:tblGrid>
      <w:tr>
        <w:tc>
          <w:tcPr>
            <w:tcW w:type="dxa" w:w="3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Übertragungsmedium</w:t>
            </w:r>
          </w:p>
        </w:tc>
        <w:tc>
          <w:tcPr>
            <w:tcW w:type="dxa" w:w="3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Max. Bruttodatenrate</w:t>
            </w:r>
          </w:p>
        </w:tc>
        <w:tc>
          <w:tcPr>
            <w:tcW w:type="dxa" w:w="26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Typische Reichweite</w:t>
            </w:r>
          </w:p>
        </w:tc>
      </w:tr>
      <w:tr>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Ethernet Cat 5e</w:t>
            </w:r>
          </w:p>
        </w:tc>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 Gbit/s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100 m</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Ethernet Cat 6</w:t>
            </w:r>
          </w:p>
        </w:tc>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 Gbit/s (10 Gbit/s bis 55m)</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100 m (55 m bei 10G)</w:t>
            </w:r>
          </w:p>
        </w:tc>
      </w:tr>
      <w:tr>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Ethernet Cat 6a</w:t>
            </w:r>
          </w:p>
        </w:tc>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 Gbit/s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100 m</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Ethernet Cat 7</w:t>
            </w:r>
          </w:p>
        </w:tc>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10 Gbit/s</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100 m</w:t>
            </w:r>
          </w:p>
        </w:tc>
      </w:tr>
      <w:tr>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Glasfaser (Multimode OM3)</w:t>
            </w:r>
          </w:p>
        </w:tc>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10 Gbit/s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300 m</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Glasfaser (Singlemode OS2)</w:t>
            </w:r>
          </w:p>
        </w:tc>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100+ Gbit/s</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bis 40 km+</w:t>
            </w:r>
          </w:p>
        </w:tc>
      </w:tr>
      <w:tr>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WLAN 802.11n (Wi-Fi 4)</w:t>
            </w:r>
          </w:p>
        </w:tc>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600 Mbit/s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ca. 70 m (indoor)</w:t>
            </w:r>
          </w:p>
        </w:tc>
      </w:tr>
      <w:tr>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WLAN 802.11ac (Wi-Fi 5)</w:t>
            </w:r>
          </w:p>
        </w:tc>
        <w:tc>
          <w:tcPr>
            <w:tcW w:type="dxa" w:w="3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6,93 Gbit/s</w:t>
            </w:r>
          </w:p>
        </w:tc>
        <w:tc>
          <w:tcPr>
            <w:tcW w:type="dxa" w:w="26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ca. 35 m (indoor)</w:t>
            </w:r>
          </w:p>
        </w:tc>
      </w:tr>
      <w:tr>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WLAN 802.11ax (Wi-Fi 6)</w:t>
            </w:r>
          </w:p>
        </w:tc>
        <w:tc>
          <w:tcPr>
            <w:tcW w:type="dxa" w:w="3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9,6 Gbit/s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ca. 35 m (indoor)</w:t>
            </w:r>
          </w:p>
        </w:tc>
      </w:tr>
    </w:tbl>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Bei Berechnungsaufgaben immer zuerst die Einheiten angleichen! Die häufigste Fehlerquelle ist das Verwechseln von Bit und Byte. Tipp: Ergebnis immer auf Plausibilität prüfen.</w:t>
      </w:r>
    </w:p>
    <w:p>
      <w:r>
        <w:br w:type="page"/>
      </w:r>
    </w:p>
    <w:p>
      <w:pPr>
        <w:pStyle w:val="Heading1"/>
      </w:pPr>
      <w:r>
        <w:rPr>
          <w:rFonts w:ascii="Arial" w:cs="Arial" w:eastAsia="Arial" w:hAnsi="Arial"/>
          <w:b/>
          <w:bCs/>
          <w:color w:val="003366"/>
          <w:sz w:val="32"/>
          <w:szCs w:val="32"/>
        </w:rPr>
        <w:t xml:space="preserve">6. Beispiele zur Netzwerkdokumentation</w:t>
      </w:r>
    </w:p>
    <w:p>
      <w:pPr>
        <w:spacing w:after="120"/>
      </w:pPr>
      <w:r>
        <w:rPr>
          <w:rFonts w:ascii="Arial" w:cs="Arial" w:eastAsia="Arial" w:hAnsi="Arial"/>
          <w:sz w:val="20"/>
          <w:szCs w:val="20"/>
        </w:rPr>
        <w:t xml:space="preserve">Die folgenden Beispiele zeigen, wie professionelle Netzwerkdokumentation in der Praxis aussieht. Diese Darstellungsformen werden auch in der IHK-Prüfung und der Projektarbeit erwartet.</w:t>
      </w:r>
    </w:p>
    <w:p>
      <w:pPr>
        <w:pStyle w:val="Heading2"/>
      </w:pPr>
      <w:r>
        <w:rPr>
          <w:rFonts w:ascii="Arial" w:cs="Arial" w:eastAsia="Arial" w:hAnsi="Arial"/>
          <w:b/>
          <w:bCs/>
          <w:color w:val="0066AA"/>
          <w:sz w:val="26"/>
          <w:szCs w:val="26"/>
        </w:rPr>
        <w:t xml:space="preserve">6.1 Physischer Netzwerkplan</w:t>
      </w:r>
    </w:p>
    <w:p>
      <w:pPr>
        <w:spacing w:after="120"/>
      </w:pPr>
      <w:r>
        <w:rPr>
          <w:rFonts w:ascii="Arial" w:cs="Arial" w:eastAsia="Arial" w:hAnsi="Arial"/>
          <w:sz w:val="20"/>
          <w:szCs w:val="20"/>
        </w:rPr>
        <w:t xml:space="preserve">Der physische Netzwerkplan zeigt die reale Infrastruktur: Gerätestandorte, Kabeltypen, Patchfelder und Räumlichkeiten. Er ist unverzichtbar für Installation, Wartung und Fehlersuche.</w:t>
      </w:r>
    </w:p>
    <w:p>
      <w:pPr>
        <w:spacing w:after="80"/>
      </w:pPr>
    </w:p>
    <w:p>
      <w:pPr>
        <w:jc w:val="center"/>
      </w:pPr>
      <w:r>
        <w:drawing>
          <wp:inline distT="0" distB="0" distL="0" distR="0">
            <wp:extent cx="5715000" cy="425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57675"/>
                    </a:xfrm>
                    <a:prstGeom prst="rect">
                      <a:avLst/>
                    </a:prstGeom>
                  </pic:spPr>
                </pic:pic>
              </a:graphicData>
            </a:graphic>
          </wp:inline>
        </w:drawing>
      </w:r>
    </w:p>
    <w:p>
      <w:pPr>
        <w:spacing w:after="80"/>
      </w:pP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Ein physischer Netzwerkplan sollte immer eine Legende enthalten und die Kabeltypen (z.B. Cat 6a, Glasfaser) kennzeichnen.</w:t>
      </w:r>
    </w:p>
    <w:p>
      <w:pPr>
        <w:pStyle w:val="Heading2"/>
      </w:pPr>
      <w:r>
        <w:rPr>
          <w:rFonts w:ascii="Arial" w:cs="Arial" w:eastAsia="Arial" w:hAnsi="Arial"/>
          <w:b/>
          <w:bCs/>
          <w:color w:val="0066AA"/>
          <w:sz w:val="26"/>
          <w:szCs w:val="26"/>
        </w:rPr>
        <w:t xml:space="preserve">6.2 Logischer Netzwerkplan</w:t>
      </w:r>
    </w:p>
    <w:p>
      <w:pPr>
        <w:spacing w:after="120"/>
      </w:pPr>
      <w:r>
        <w:rPr>
          <w:rFonts w:ascii="Arial" w:cs="Arial" w:eastAsia="Arial" w:hAnsi="Arial"/>
          <w:sz w:val="20"/>
          <w:szCs w:val="20"/>
        </w:rPr>
        <w:t xml:space="preserve">Der logische Netzwerkplan zeigt die Netzwerkstruktur unabhängig von physischen Standorten: IP-Adressbereiche, VLANs, Subnetze, Routing und Firewall-Zonen.</w:t>
      </w:r>
    </w:p>
    <w:p>
      <w:pPr>
        <w:spacing w:after="80"/>
      </w:pPr>
    </w:p>
    <w:p>
      <w:pPr>
        <w:jc w:val="center"/>
      </w:pPr>
      <w:r>
        <w:drawing>
          <wp:inline distT="0" distB="0" distL="0" distR="0">
            <wp:extent cx="571500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48125"/>
                    </a:xfrm>
                    <a:prstGeom prst="rect">
                      <a:avLst/>
                    </a:prstGeom>
                  </pic:spPr>
                </pic:pic>
              </a:graphicData>
            </a:graphic>
          </wp:inline>
        </w:drawing>
      </w:r>
    </w:p>
    <w:p>
      <w:pPr>
        <w:spacing w:after="80"/>
      </w:pPr>
    </w:p>
    <w:p>
      <w:pPr>
        <w:pStyle w:val="Heading2"/>
      </w:pPr>
      <w:r>
        <w:rPr>
          <w:rFonts w:ascii="Arial" w:cs="Arial" w:eastAsia="Arial" w:hAnsi="Arial"/>
          <w:b/>
          <w:bCs/>
          <w:color w:val="0066AA"/>
          <w:sz w:val="26"/>
          <w:szCs w:val="26"/>
        </w:rPr>
        <w:t xml:space="preserve">6.3 IP-Adressplan</w:t>
      </w:r>
    </w:p>
    <w:p>
      <w:pPr>
        <w:spacing w:after="120"/>
      </w:pPr>
      <w:r>
        <w:rPr>
          <w:rFonts w:ascii="Arial" w:cs="Arial" w:eastAsia="Arial" w:hAnsi="Arial"/>
          <w:sz w:val="20"/>
          <w:szCs w:val="20"/>
        </w:rPr>
        <w:t xml:space="preserve">Der IP-Adressplan dokumentiert alle Subnetze, VLAN-Zuordnungen, Gateway-Adressen, DHCP-Bereiche und statischen Zuweisungen in tabellarischer Form.</w:t>
      </w:r>
    </w:p>
    <w:p>
      <w:pPr>
        <w:spacing w:after="80"/>
      </w:pPr>
    </w:p>
    <w:p>
      <w:pPr>
        <w:jc w:val="center"/>
      </w:pPr>
      <w:r>
        <w:drawing>
          <wp:inline distT="0" distB="0" distL="0" distR="0">
            <wp:extent cx="5715000"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76600"/>
                    </a:xfrm>
                    <a:prstGeom prst="rect">
                      <a:avLst/>
                    </a:prstGeom>
                  </pic:spPr>
                </pic:pic>
              </a:graphicData>
            </a:graphic>
          </wp:inline>
        </w:drawing>
      </w:r>
    </w:p>
    <w:p>
      <w:pPr>
        <w:spacing w:after="80"/>
      </w:pPr>
    </w:p>
    <w:p>
      <w:pPr>
        <w:pBdr>
          <w:left w:val="single" w:color="0066AA" w:sz="12" w:space="8"/>
        </w:pBdr>
        <w:spacing w:after="120" w:before="120"/>
        <w:ind w:left="200"/>
      </w:pPr>
      <w:r>
        <w:rPr>
          <w:rFonts w:ascii="Arial" w:cs="Arial" w:eastAsia="Arial" w:hAnsi="Arial"/>
          <w:b/>
          <w:bCs/>
          <w:color w:val="0066AA"/>
          <w:sz w:val="20"/>
          <w:szCs w:val="20"/>
        </w:rPr>
        <w:t xml:space="preserve">IHK-Tipp: </w:t>
      </w:r>
      <w:r>
        <w:rPr>
          <w:rFonts w:ascii="Arial" w:cs="Arial" w:eastAsia="Arial" w:hAnsi="Arial"/>
          <w:sz w:val="20"/>
          <w:szCs w:val="20"/>
        </w:rPr>
        <w:t xml:space="preserve">In der Projektarbeit (AP2) wird erwartet, dass mindestens ein physischer ODER logischer Netzwerkplan sowie ein IP-Adressplan enthalten sind. Verwende standardisierte Symbole!</w:t>
      </w:r>
    </w:p>
    <w:p>
      <w:r>
        <w:br w:type="page"/>
      </w:r>
    </w:p>
    <w:p>
      <w:pPr>
        <w:pStyle w:val="Heading1"/>
      </w:pPr>
      <w:r>
        <w:rPr>
          <w:rFonts w:ascii="Arial" w:cs="Arial" w:eastAsia="Arial" w:hAnsi="Arial"/>
          <w:b/>
          <w:bCs/>
          <w:color w:val="003366"/>
          <w:sz w:val="32"/>
          <w:szCs w:val="32"/>
        </w:rPr>
        <w:t xml:space="preserve">Abkürzungsverzeichnis</w:t>
      </w:r>
    </w:p>
    <w:p>
      <w:pPr>
        <w:spacing w:after="120"/>
      </w:pPr>
      <w:r>
        <w:rPr>
          <w:rFonts w:ascii="Arial" w:cs="Arial" w:eastAsia="Arial" w:hAnsi="Arial"/>
          <w:sz w:val="20"/>
          <w:szCs w:val="20"/>
        </w:rPr>
        <w:t xml:space="preserve">Alle in diesem Lernzettel verwendeten Abkürzungen und Fachbegriffe:</w:t>
      </w:r>
    </w:p>
    <w:p>
      <w:pPr>
        <w:spacing w:after="8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7200"/>
      </w:tblGrid>
      <w:tr>
        <w:tc>
          <w:tcPr>
            <w:tcW w:type="dxa" w:w="18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Abkürzung</w:t>
            </w:r>
          </w:p>
        </w:tc>
        <w:tc>
          <w:tcPr>
            <w:tcW w:type="dxa" w:w="7200"/>
            <w:tcBorders>
              <w:top w:val="single" w:color="CCCCCC" w:sz="1"/>
              <w:left w:val="single" w:color="CCCCCC" w:sz="1"/>
              <w:bottom w:val="single" w:color="CCCCCC" w:sz="1"/>
              <w:right w:val="single" w:color="CCCCCC" w:sz="1"/>
            </w:tcBorders>
            <w:shd w:fill="003366" w:val="clear"/>
            <w:tcMar>
              <w:top w:type="dxa" w:w="60"/>
              <w:left w:type="dxa" w:w="100"/>
              <w:bottom w:type="dxa" w:w="60"/>
              <w:right w:type="dxa" w:w="100"/>
            </w:tcMar>
            <w:vAlign w:val="center"/>
          </w:tcPr>
          <w:p>
            <w:r>
              <w:rPr>
                <w:rFonts w:ascii="Arial" w:cs="Arial" w:eastAsia="Arial" w:hAnsi="Arial"/>
                <w:b/>
                <w:bCs/>
                <w:color w:val="FFFFFF"/>
                <w:sz w:val="20"/>
                <w:szCs w:val="20"/>
              </w:rPr>
              <w:t xml:space="preserve">Bedeutung</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ACK</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Acknowledge – Bestätigung im TCP-Handshake</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AP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Access Point – WLAN-Zugangspunkt</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ARP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Address Resolution Protocol – IP → MAC-Auflösung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BGP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Border Gateway Protocol – Routing zwischen autonomen Systemen</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CA</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Certificate Authority – Zertifizierungsstelle</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CIFS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Common Internet File System – Dateifreigabeprotokoll (Windows)</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CRC</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Cyclic Redundancy Check – Prüfsummenverfahren</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DHCP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Dynamic Host Configuration Protocol – automatische IP-Vergabe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DMZ</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Demilitarized Zone – Pufferzone zwischen LAN und Internet</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DNS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Domain Name System – Namensauflösung</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DORA</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Discover, Offer, Request, Acknowledge – DHCP-Ablauf</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EAP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Extensible Authentication Protocol – Rahmenprotokoll für 802.1X</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FC</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Fibre Channel – Hochgeschwindigkeits-Speichernetzwerk</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FTP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File Transfer Protocol – Dateiübertragung (Port 20+21)</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GiB</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Gibibyte – binäre Einheit: 1.073.741.824 Byte (1024³)</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HTTP(S)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Hypertext Transfer Protocol (Secure) – Web-Kommunikation</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ICMP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Internet Control Message Protocol – Ping, Traceroute</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IEC</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International Electrotechnical Commission – binäre Präfixe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IMAP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Internet Message Access Protocol – E-Mail-Synchronisation</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Internet Protocol – logische Adressierung</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iSCSI</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Internet Small Computer Systems Interface – Speicherprotokoll</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ISO</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International Organization for Standardization</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LAN</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Local Area Network – lokales Netzwerk</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LDAP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Lightweight Directory Access Protocol – Verzeichnisdienst</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LWL</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Lichtwellenleiter – Glasfaserkabel</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MAC</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Media Access Control – physische Hardwareadresse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NAS</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Network Attached Storage – netzwerkgebundener Speicher</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NFS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Network File System – Dateifreigabeprotokoll (Unix/Linux)</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NPS</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Network Policy Server – Windows-RADIUS-Implementierung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OSI</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Open Systems Interconnection – ISO-Referenzmodell</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OSPF</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Open Shortest Path First – Routing-Protokoll</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PDU</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Protocol Data Unit – Dateneinheit einer OSI-Schicht</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PEAP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Protected EAP – EAP-Variante mit Serverzertifikat</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POP3</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Post Office Protocol v3 – E-Mail-Download</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PSK</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Pre-Shared Key – gemeinsamer WLAN-Schlüssel</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RADIUS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Remote Authentication Dial-In User Service</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RAID</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Redundant Array of Independent Disks</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RJ-45</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Registered Jack 45 – Standard-Netzwerkstecker (8P8C)</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SAE</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Simultaneous Authentication of Equals – WPA3-Handshake</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SAN</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Storage Area Network – Speichernetzwerk</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SFTP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SSH File Transfer Protocol – sichere Dateiübertragung</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SI</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Système International – dezimale Präfixe (KB, MB, GB)</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SMB</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Server Message Block – Dateifreigabeprotokoll (Windows)</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SMTP</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Simple Mail Transfer Protocol – E-Mail-Versand</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SSH</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Secure Shell – verschlüsselte Remote-Verbindung (Port 22)</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SYN</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Synchronize – Verbindungsaufbau bei TCP</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TCP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Transmission Control Protocol – verbindungsorientiert</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TLS</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Transport Layer Security – Verschlüsselung (HTTPS)</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UDP</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User Datagram Protocol – verbindungslos</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VLAN</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Virtual Local Area Network – logische Netzwerksegmentierung</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WAN</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Wide Area Network – Weitverkehrsnetz</w:t>
            </w:r>
          </w:p>
        </w:tc>
      </w:tr>
      <w:tr>
        <w:tc>
          <w:tcPr>
            <w:tcW w:type="dxa" w:w="18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WLAN</w:t>
            </w:r>
          </w:p>
        </w:tc>
        <w:tc>
          <w:tcPr>
            <w:tcW w:type="dxa" w:w="7200"/>
            <w:tcBorders>
              <w:top w:val="single" w:color="CCCCCC" w:sz="1"/>
              <w:left w:val="single" w:color="CCCCCC" w:sz="1"/>
              <w:bottom w:val="single" w:color="CCCCCC" w:sz="1"/>
              <w:right w:val="single" w:color="CCCCCC" w:sz="1"/>
            </w:tcBorders>
            <w:shd w:fill="F5F5F5" w:val="clear"/>
            <w:tcMar>
              <w:top w:type="dxa" w:w="60"/>
              <w:left w:type="dxa" w:w="100"/>
              <w:bottom w:type="dxa" w:w="60"/>
              <w:right w:type="dxa" w:w="100"/>
            </w:tcMar>
          </w:tcPr>
          <w:p>
            <w:r>
              <w:rPr>
                <w:rFonts w:ascii="Arial" w:cs="Arial" w:eastAsia="Arial" w:hAnsi="Arial"/>
                <w:color w:val="000000"/>
                <w:sz w:val="20"/>
                <w:szCs w:val="20"/>
              </w:rPr>
              <w:t xml:space="preserve">Wireless LAN – drahtloses lokales Netzwerk</w:t>
            </w:r>
          </w:p>
        </w:tc>
      </w:tr>
      <w:tr>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WPA</w:t>
            </w:r>
          </w:p>
        </w:tc>
        <w:tc>
          <w:tcPr>
            <w:tcW w:type="dxa" w:w="7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color w:val="000000"/>
                <w:sz w:val="20"/>
                <w:szCs w:val="20"/>
              </w:rPr>
              <w:t xml:space="preserve">Wi-Fi Protected Access – WLAN-Verschlüsselungsstandard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003366"/>
      <w:sz w:val="32"/>
      <w:szCs w:val="32"/>
    </w:rPr>
  </w:style>
  <w:style w:type="paragraph" w:styleId="Heading2">
    <w:name w:val="Heading 2"/>
    <w:basedOn w:val="Normal"/>
    <w:next w:val="Normal"/>
    <w:qFormat/>
    <w:pPr>
      <w:spacing w:after="160" w:before="240"/>
      <w:outlineLvl w:val="1"/>
    </w:pPr>
    <w:rPr>
      <w:rFonts w:ascii="Arial" w:cs="Arial" w:eastAsia="Arial" w:hAnsi="Arial"/>
      <w:b/>
      <w:bCs/>
      <w:color w:val="0066A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79f7545cc0d07e430b4dbef133c76ce524f39b3.png"/><Relationship Id="rId8" Type="http://schemas.openxmlformats.org/officeDocument/2006/relationships/image" Target="media/5f20a61577a679cc0d65e4a99557b4887c598ce3.png"/><Relationship Id="rId9" Type="http://schemas.openxmlformats.org/officeDocument/2006/relationships/image" Target="media/f31f08a3f1d47018985db949c92b21afd7d59d1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2026-03-05T12:05:02.913Z</dcterms:created>
  <dcterms:modified xsi:type="dcterms:W3CDTF">2026-03-05T12:05:02.914Z</dcterms:modified>
</cp:coreProperties>
</file>

<file path=docProps/custom.xml><?xml version="1.0" encoding="utf-8"?>
<Properties xmlns="http://schemas.openxmlformats.org/officeDocument/2006/custom-properties" xmlns:vt="http://schemas.openxmlformats.org/officeDocument/2006/docPropsVTypes"/>
</file>