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003366"/>
          <w:sz w:val="44"/>
          <w:szCs w:val="44"/>
        </w:rPr>
        <w:t xml:space="preserve">HANDOUT</w:t>
      </w:r>
    </w:p>
    <w:p>
      <w:pPr>
        <w:spacing w:after="80"/>
        <w:jc w:val="center"/>
      </w:pPr>
      <w:r>
        <w:rPr>
          <w:rFonts w:ascii="Arial" w:cs="Arial" w:eastAsia="Arial" w:hAnsi="Arial"/>
          <w:color w:val="003366"/>
          <w:sz w:val="28"/>
          <w:szCs w:val="28"/>
        </w:rPr>
        <w:t xml:space="preserve">IT-Systeme, Drucker, Scanner &amp; Arbeitsplatzumgebungen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9"/>
        <w:gridCol w:w="3009"/>
      </w:tblGrid>
      <w:tr>
        <w:tc>
          <w:tcPr>
            <w:tcW w:type="dxa" w:w="3008"/>
            <w:tcBorders>
              <w:top w:val="none" w:sz="0"/>
              <w:left w:val="none" w:sz="0"/>
              <w:bottom w:val="none" w:sz="0"/>
              <w:right w:val="none" w:sz="0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Bauformen &amp; Systeme</w:t>
            </w:r>
          </w:p>
        </w:tc>
        <w:tc>
          <w:tcPr>
            <w:tcW w:type="dxa" w:w="3009"/>
            <w:tcBorders>
              <w:top w:val="none" w:sz="0"/>
              <w:left w:val="none" w:sz="0"/>
              <w:bottom w:val="none" w:sz="0"/>
              <w:right w:val="none" w:sz="0"/>
            </w:tcBorders>
            <w:shd w:fill="8DB4D8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Drucker &amp; Scanner</w:t>
            </w:r>
          </w:p>
        </w:tc>
        <w:tc>
          <w:tcPr>
            <w:tcW w:type="dxa" w:w="3009"/>
            <w:tcBorders>
              <w:top w:val="none" w:sz="0"/>
              <w:left w:val="none" w:sz="0"/>
              <w:bottom w:val="none" w:sz="0"/>
              <w:right w:val="none" w:sz="0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Barrierefreiheit &amp; Green-IT</w:t>
            </w:r>
          </w:p>
        </w:tc>
      </w:tr>
    </w:tbl>
    <w:p>
      <w:pPr>
        <w:spacing w:after="200"/>
      </w:pP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1. Bauformen von Arbeitsplatzcomputern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IT-Systeme gibt es in verschiedenen Bauformen, die sich in Größe, Leistung, Erweiterbarkeit und Einsatzzweck unterscheiden. Die richtige Auswahl orientiert sich an den Anforderungen des Arbeitsplatzes.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1.1 Übersicht der Bauformen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400"/>
        <w:gridCol w:w="2413"/>
        <w:gridCol w:w="2413"/>
      </w:tblGrid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Bauform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Merkmale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Vorteile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Einsatzgebiet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Tower / Desktop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Großes Gehäuse, viele Erweiterungsslots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Hohe Leistung, gut erweiterbar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Büro, Entwicklung, CAD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Small Form Factor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Kompaktes Gehäuse (Micro-ATX/ITX)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Platzsparend, leise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Büro, Empfang, Kasse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All-in-One (AiO)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Computer im Monitor integriert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Kabelarm, platzsparend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Empfang, Arztpraxis, Büro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Laptop / Notebook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Tragbar, Display + Tastatur integriert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Mobil, Akku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Außendienst, Home-Office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Tablet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Touchscreen, sehr kompakt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Ultra-mobil, intuitiv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Vertrieb, Lager, Präsentation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Thin Client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Minimale lokale Hardware, Server-basiert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Günstig, zentral verwaltbar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Call-Center, Verwaltung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Workstation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Hochleistungsrechner, ECC-RAM, Profi-GPU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Maximale Leistung + Stabilität</w:t>
            </w:r>
          </w:p>
        </w:tc>
        <w:tc>
          <w:tcPr>
            <w:tcW w:type="dxa" w:w="2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3D-Rendering, Simulation, KI</w:t>
            </w:r>
          </w:p>
        </w:tc>
      </w:tr>
    </w:tbl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1.2 Desktop as a Service (DaaS)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Bei DaaS wird der komplette Arbeitsplatz-Desktop virtuell bereitgestellt und über das Netzwerk gestreamt. Der Nutzer arbeitet an einem Thin Client oder einem beliebigen Endgerät, die eigentliche Rechenleistung liegt im Rechenzentrum.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Vorteile: </w:t>
      </w:r>
      <w:r>
        <w:rPr>
          <w:rFonts w:ascii="Arial" w:cs="Arial" w:eastAsia="Arial" w:hAnsi="Arial"/>
          <w:sz w:val="22"/>
          <w:szCs w:val="22"/>
        </w:rPr>
        <w:t xml:space="preserve">Zentrale Verwaltung, schnelle Bereitstellung, ortsunabhängig, einfache Skalierung, einheitliche Sicherheitsrichtlinien.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Nachteile: </w:t>
      </w:r>
      <w:r>
        <w:rPr>
          <w:rFonts w:ascii="Arial" w:cs="Arial" w:eastAsia="Arial" w:hAnsi="Arial"/>
          <w:sz w:val="22"/>
          <w:szCs w:val="22"/>
        </w:rPr>
        <w:t xml:space="preserve">Abhängigkeit von stabiler Internetverbindung, laufende Kosten (Abo-Modell), Latenz bei grafikintensiven Anwendungen.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Anbieter: </w:t>
      </w:r>
      <w:r>
        <w:rPr>
          <w:rFonts w:ascii="Arial" w:cs="Arial" w:eastAsia="Arial" w:hAnsi="Arial"/>
          <w:sz w:val="22"/>
          <w:szCs w:val="22"/>
        </w:rPr>
        <w:t xml:space="preserve">Microsoft Azure Virtual Desktop, Amazon WorkSpaces, Citrix DaaS, VMware Horizon Cloud.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3366" w:sz="2"/>
              <w:left w:val="single" w:color="003366" w:sz="6"/>
              <w:bottom w:val="single" w:color="8DB4D8" w:sz="1"/>
              <w:right w:val="single" w:color="8DB4D8" w:sz="1"/>
            </w:tcBorders>
            <w:shd w:fill="E8F0F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03366"/>
                <w:sz w:val="22"/>
                <w:szCs w:val="22"/>
              </w:rPr>
              <w:t xml:space="preserve">ℹ️  Merke: Bauform nach Bedarf wählen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Mobilität erforderlich? → Laptop oder Tablet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Maximale Leistung? → Tower oder Workstation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Platzmangel? → SFF oder All-in-One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Viele gleichartige Arbeitsplätze? → Thin Client + DaaS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Immer auch Ergonomie und Nachhaltigkeit berücksichtigen!</w:t>
            </w:r>
          </w:p>
        </w:tc>
      </w:tr>
    </w:tbl>
    <w:p>
      <w:r>
        <w:br w:type="pag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2. Druckerarten und Drucktechnologien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Drucker gehören zu den wichtigsten Peripheriegeräten im Unternehmensumfeld. Die Auswahl des richtigen Druckertyps hängt von Druckvolumen, Druckqualität, Kosten und Einsatzzweck ab.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2.1 Druckertypen im Vergleich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900"/>
        <w:gridCol w:w="1800"/>
        <w:gridCol w:w="1813"/>
        <w:gridCol w:w="1813"/>
      </w:tblGrid>
      <w:tr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Technologie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Geschwindigkeit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Kosten/Seite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Einsatz</w:t>
            </w:r>
          </w:p>
        </w:tc>
      </w:tr>
      <w:tr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Tintenstrahl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Tintentröpfchen auf Papier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Mittel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Hoch (3–8 Ct)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Foto, Home-Office</w:t>
            </w:r>
          </w:p>
        </w:tc>
      </w:tr>
      <w:tr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Laser (s/w)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Toner + Trommel + Hitze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Schnell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Niedrig (1–2 Ct)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Büro, Massendr.</w:t>
            </w:r>
          </w:p>
        </w:tc>
      </w:tr>
      <w:tr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Farblaser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 Toner (CMYK)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Schnell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Mittel (5–12 Ct)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Büro, Marketing</w:t>
            </w:r>
          </w:p>
        </w:tc>
      </w:tr>
      <w:tr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LED-Drucker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LED-Zeile statt Laser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Schnell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Niedrig–Mittel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Büro (kompakt)</w:t>
            </w:r>
          </w:p>
        </w:tc>
      </w:tr>
      <w:tr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Nadeldrucker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Nadeln auf Farbband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Langsam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Sehr niedrig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Durchschläge, Logistik</w:t>
            </w:r>
          </w:p>
        </w:tc>
      </w:tr>
      <w:tr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Thermotransfer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Hitze auf Spezialpapier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Mittel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Niedrig</w:t>
            </w:r>
          </w:p>
        </w:tc>
        <w:tc>
          <w:tcPr>
            <w:tcW w:type="dxa" w:w="18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Etiketten, Bons</w:t>
            </w:r>
          </w:p>
        </w:tc>
      </w:tr>
    </w:tbl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2.2 Multifunktionsgeräte (MFP)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Multifunktionsdrucker kombinieren mehrere Funktionen in einem Gerät und sind die Standardlösung in den meisten Unternehmen.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Funktionen: </w:t>
      </w:r>
      <w:r>
        <w:rPr>
          <w:rFonts w:ascii="Arial" w:cs="Arial" w:eastAsia="Arial" w:hAnsi="Arial"/>
          <w:sz w:val="22"/>
          <w:szCs w:val="22"/>
        </w:rPr>
        <w:t xml:space="preserve">Drucken, Scannen, Kopieren, Faxen (teilweise).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Vorteile: </w:t>
      </w:r>
      <w:r>
        <w:rPr>
          <w:rFonts w:ascii="Arial" w:cs="Arial" w:eastAsia="Arial" w:hAnsi="Arial"/>
          <w:sz w:val="22"/>
          <w:szCs w:val="22"/>
        </w:rPr>
        <w:t xml:space="preserve">Platzsparend, geringere Gesamtkosten, zentrale Verwaltung, Netzwerkfähig.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Sicherheit: </w:t>
      </w:r>
      <w:r>
        <w:rPr>
          <w:rFonts w:ascii="Arial" w:cs="Arial" w:eastAsia="Arial" w:hAnsi="Arial"/>
          <w:sz w:val="22"/>
          <w:szCs w:val="22"/>
        </w:rPr>
        <w:t xml:space="preserve">Festplattenverschlüsselung, Nutzerauthentifizierung (PIN, Badge), sichere Druckfreigabe (Pull-Printing), automatische Löschung gespeicherter Aufträge.</w:t>
      </w:r>
    </w:p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2.3 Druckkostenberechnung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Die tatsächlichen Druckkosten setzen sich aus mehreren Faktoren zusammen. Für die IHK-Prüfung ist die Berechnung der Seitenkosten relevant.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Kostenfaktor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Erklärung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Anschaffungskosten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Kaufpreis des Druckers (einmalig)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Verbrauchsmaterial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Toner/Tinte, Trommeln, Fixiereinheiten (laufend)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Papierkosten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Abhängig von Papierqualität und Verbrauch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Stromkosten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Energieverbrauch im Betrieb und Standby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Wartung / Service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Managed Print Services, Wartungsverträge</w:t>
            </w:r>
          </w:p>
        </w:tc>
      </w:tr>
    </w:tbl>
    <w:p>
      <w:pPr>
        <w:spacing w:after="120"/>
      </w:pPr>
    </w:p>
    <w:p>
      <w:pPr>
        <w:spacing w:after="1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Formel Seitenkosten: </w:t>
      </w:r>
      <w:r>
        <w:rPr>
          <w:rFonts w:ascii="Arial" w:cs="Arial" w:eastAsia="Arial" w:hAnsi="Arial"/>
          <w:sz w:val="22"/>
          <w:szCs w:val="22"/>
        </w:rPr>
        <w:t xml:space="preserve">Kosten pro Seite = (Tonerkosten / Reichweite in Seiten) + Papierkosten pro Blatt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3366" w:sz="2"/>
              <w:left w:val="single" w:color="003366" w:sz="6"/>
              <w:bottom w:val="single" w:color="8DB4D8" w:sz="1"/>
              <w:right w:val="single" w:color="8DB4D8" w:sz="1"/>
            </w:tcBorders>
            <w:shd w:fill="E8F0F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03366"/>
                <w:sz w:val="22"/>
                <w:szCs w:val="22"/>
              </w:rPr>
              <w:t xml:space="preserve">ℹ️  Nachhaltige Druckernutzung (Green-IT)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Duplexdruck (beidseitig) als Standard einstellen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Entwurfsmodus für interne Dokumente nutzen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Pull-Printing vermeidet vergessene Ausdrucke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Recycling-Papier und Toner-Rückgabeprogramme nutzen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Energy-Star-zertifizierte Geräte bevorzugen</w:t>
            </w:r>
          </w:p>
        </w:tc>
      </w:tr>
    </w:tbl>
    <w:p>
      <w:r>
        <w:br w:type="pag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3. Scanner und Digitalisierung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Scanner wandeln physische Dokumente und Bilder in digitale Daten um. Im Unternehmensumfeld sind sie essenziell für die Digitalisierung von Geschäftsprozessen und das papierlose Büro.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3.1 Scannertypen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13"/>
        <w:gridCol w:w="2013"/>
        <w:gridCol w:w="2000"/>
      </w:tblGrid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</w:t>
            </w:r>
          </w:p>
        </w:tc>
        <w:tc>
          <w:tcPr>
            <w:tcW w:type="dxa" w:w="3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Funktionsweise</w:t>
            </w:r>
          </w:p>
        </w:tc>
        <w:tc>
          <w:tcPr>
            <w:tcW w:type="dxa" w:w="2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Geschwindigkeit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Einsatz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Flachbettscanner</w:t>
            </w:r>
          </w:p>
        </w:tc>
        <w:tc>
          <w:tcPr>
            <w:tcW w:type="dxa" w:w="3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Vorlage auf Glasplatte, Scan-Einheit fährt darunter</w:t>
            </w:r>
          </w:p>
        </w:tc>
        <w:tc>
          <w:tcPr>
            <w:tcW w:type="dxa" w:w="2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Langsam (einzeln)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Bücher, Fotos, fragile Dokumente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Dokumentenscanner</w:t>
            </w:r>
          </w:p>
        </w:tc>
        <w:tc>
          <w:tcPr>
            <w:tcW w:type="dxa" w:w="3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Automatischer Einzug (ADF), beidseitig</w:t>
            </w:r>
          </w:p>
        </w:tc>
        <w:tc>
          <w:tcPr>
            <w:tcW w:type="dxa" w:w="2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Schnell (60+ S./Min.)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Büro, Poststelle, Archiv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Handscanner</w:t>
            </w:r>
          </w:p>
        </w:tc>
        <w:tc>
          <w:tcPr>
            <w:tcW w:type="dxa" w:w="3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Manuell über Dokument geführt</w:t>
            </w:r>
          </w:p>
        </w:tc>
        <w:tc>
          <w:tcPr>
            <w:tcW w:type="dxa" w:w="2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Mittel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Mobil, Barcodes</w:t>
            </w:r>
          </w:p>
        </w:tc>
      </w:tr>
      <w:t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Großformatscanner</w:t>
            </w:r>
          </w:p>
        </w:tc>
        <w:tc>
          <w:tcPr>
            <w:tcW w:type="dxa" w:w="3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Für Formate bis A0 und größer</w:t>
            </w:r>
          </w:p>
        </w:tc>
        <w:tc>
          <w:tcPr>
            <w:tcW w:type="dxa" w:w="20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Langsam–Mittel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Architektur, Technik</w:t>
            </w:r>
          </w:p>
        </w:tc>
      </w:tr>
    </w:tbl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3.2 Wichtige Kenngrößen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Auflösung (dpi): </w:t>
      </w:r>
      <w:r>
        <w:rPr>
          <w:rFonts w:ascii="Arial" w:cs="Arial" w:eastAsia="Arial" w:hAnsi="Arial"/>
          <w:sz w:val="22"/>
          <w:szCs w:val="22"/>
        </w:rPr>
        <w:t xml:space="preserve">Dots per Inch – bestimmt die Detailgenauigkeit. 300 dpi für Dokumente, 600+ dpi für Fotos und Grafiken.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Farbtiefe: </w:t>
      </w:r>
      <w:r>
        <w:rPr>
          <w:rFonts w:ascii="Arial" w:cs="Arial" w:eastAsia="Arial" w:hAnsi="Arial"/>
          <w:sz w:val="22"/>
          <w:szCs w:val="22"/>
        </w:rPr>
        <w:t xml:space="preserve">Anzahl der darstellbaren Farben. 24 Bit = 16,7 Mio. Farben (Standard), 48 Bit für professionelle Bildbearbeitung.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OCR: </w:t>
      </w:r>
      <w:r>
        <w:rPr>
          <w:rFonts w:ascii="Arial" w:cs="Arial" w:eastAsia="Arial" w:hAnsi="Arial"/>
          <w:sz w:val="22"/>
          <w:szCs w:val="22"/>
        </w:rPr>
        <w:t xml:space="preserve">Optical Character Recognition – erkennt Text in gescannten Bildern und macht ihn durchsuchbar und bearbeitbar.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ADF: </w:t>
      </w:r>
      <w:r>
        <w:rPr>
          <w:rFonts w:ascii="Arial" w:cs="Arial" w:eastAsia="Arial" w:hAnsi="Arial"/>
          <w:sz w:val="22"/>
          <w:szCs w:val="22"/>
        </w:rPr>
        <w:t xml:space="preserve">Automatic Document Feeder – automatischer Einzelblatteinzug für mehrseitige Dokumente.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Duplex-Scan: </w:t>
      </w:r>
      <w:r>
        <w:rPr>
          <w:rFonts w:ascii="Arial" w:cs="Arial" w:eastAsia="Arial" w:hAnsi="Arial"/>
          <w:sz w:val="22"/>
          <w:szCs w:val="22"/>
        </w:rPr>
        <w:t xml:space="preserve">Beidseitiges Scannen in einem Durchgang – halbiert die Scanzeit.</w:t>
      </w:r>
    </w:p>
    <w:p>
      <w:pPr>
        <w:spacing w:after="120"/>
      </w:pP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4. Arbeitsplatzgestaltung und Ergonomie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Die Gestaltung des IT-Arbeitsplatzes hat direkten Einfluss auf Gesundheit, Produktivität und Zufriedenheit der Mitarbeitenden. Gesetzliche Grundlagen regeln die Mindestanforderungen.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4.1 Ergonomische Grundsätze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Bereich</w:t>
            </w:r>
          </w:p>
        </w:tc>
        <w:tc>
          <w:tcPr>
            <w:tcW w:type="dxa" w:w="6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Anforderungen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Monitor</w:t>
            </w:r>
          </w:p>
        </w:tc>
        <w:tc>
          <w:tcPr>
            <w:tcW w:type="dxa" w:w="6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Oberkante auf Augenhöhe, Abstand 50–70 cm, flimmerfrei, mind. 23 Zoll, Neigung einstellbar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Tastatur</w:t>
            </w:r>
          </w:p>
        </w:tc>
        <w:tc>
          <w:tcPr>
            <w:tcW w:type="dxa" w:w="6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Flach, getrennt vom Monitor, Handgelenkauflage optional, ergonomische Varianten verfügbar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Stuhl</w:t>
            </w:r>
          </w:p>
        </w:tc>
        <w:tc>
          <w:tcPr>
            <w:tcW w:type="dxa" w:w="6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Höhenverstellbar, Rückenlehne mit Lordosenstütze, Armlehnen einstellbar, 5 Rollen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Schreibtisch</w:t>
            </w:r>
          </w:p>
        </w:tc>
        <w:tc>
          <w:tcPr>
            <w:tcW w:type="dxa" w:w="6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Mindestfläche 160 × 80 cm, Höhenverstellbar (68–76 cm oder Steh-Sitz), reflexionsarme Oberfläche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Beleuchtung</w:t>
            </w:r>
          </w:p>
        </w:tc>
        <w:tc>
          <w:tcPr>
            <w:tcW w:type="dxa" w:w="6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500 Lux am Arbeitsplatz, keine Blendung/Reflexion auf dem Monitor, Tageslichtanteil optimal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Raumklima</w:t>
            </w:r>
          </w:p>
        </w:tc>
        <w:tc>
          <w:tcPr>
            <w:tcW w:type="dxa" w:w="68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Temperatur 20–26°C, Luftfeuchtigkeit 40–60%, regelmäßiges Lüften</w:t>
            </w:r>
          </w:p>
        </w:tc>
      </w:tr>
    </w:tbl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4.2 Rechtliche Grundlagen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ArbStättV: </w:t>
      </w:r>
      <w:r>
        <w:rPr>
          <w:rFonts w:ascii="Arial" w:cs="Arial" w:eastAsia="Arial" w:hAnsi="Arial"/>
          <w:sz w:val="22"/>
          <w:szCs w:val="22"/>
        </w:rPr>
        <w:t xml:space="preserve">Arbeitsstättenverordnung – regelt Anforderungen an Arbeitsstätten inkl. Bildschirmarbeitsplätze.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DGUV Information 215-410: </w:t>
      </w:r>
      <w:r>
        <w:rPr>
          <w:rFonts w:ascii="Arial" w:cs="Arial" w:eastAsia="Arial" w:hAnsi="Arial"/>
          <w:sz w:val="22"/>
          <w:szCs w:val="22"/>
        </w:rPr>
        <w:t xml:space="preserve">Technische Regeln für Bildschirm- und Büroarbeitsplätze (ehem. BGI 650).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ASR A3.4: </w:t>
      </w:r>
      <w:r>
        <w:rPr>
          <w:rFonts w:ascii="Arial" w:cs="Arial" w:eastAsia="Arial" w:hAnsi="Arial"/>
          <w:sz w:val="22"/>
          <w:szCs w:val="22"/>
        </w:rPr>
        <w:t xml:space="preserve">Technische Regel für Beleuchtung am Arbeitsplatz.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BildscharbV: </w:t>
      </w:r>
      <w:r>
        <w:rPr>
          <w:rFonts w:ascii="Arial" w:cs="Arial" w:eastAsia="Arial" w:hAnsi="Arial"/>
          <w:sz w:val="22"/>
          <w:szCs w:val="22"/>
        </w:rPr>
        <w:t xml:space="preserve">Verordnung über Sicherheit und Gesundheitsschutz bei der Arbeit an Bildschirmgeräten.</w:t>
      </w:r>
    </w:p>
    <w:p>
      <w:pPr>
        <w:spacing w:after="120"/>
      </w:pP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5. Green-IT und Nachhaltigkeit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Green-IT bezeichnet den umweltbewussten Einsatz von Informationstechnologie über den gesamten Lebenszyklus: von der Herstellung über den Betrieb bis zur Entsorgung.</w:t>
      </w: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5.1 Maßnahmen im Unternehmen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Beschaffung: </w:t>
      </w:r>
      <w:r>
        <w:rPr>
          <w:rFonts w:ascii="Arial" w:cs="Arial" w:eastAsia="Arial" w:hAnsi="Arial"/>
          <w:sz w:val="22"/>
          <w:szCs w:val="22"/>
        </w:rPr>
        <w:t xml:space="preserve">Energy-Star, Blauer Engel, EPEAT-zertifizierte Geräte bevorzugen. Langlebige, reparierbare Hardware wählen.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Betrieb: </w:t>
      </w:r>
      <w:r>
        <w:rPr>
          <w:rFonts w:ascii="Arial" w:cs="Arial" w:eastAsia="Arial" w:hAnsi="Arial"/>
          <w:sz w:val="22"/>
          <w:szCs w:val="22"/>
        </w:rPr>
        <w:t xml:space="preserve">Energiesparmodi aktivieren, automatische Abschaltung nach Feierabend, Virtualisierung zur Reduzierung physischer Server.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Entsorgung: </w:t>
      </w:r>
      <w:r>
        <w:rPr>
          <w:rFonts w:ascii="Arial" w:cs="Arial" w:eastAsia="Arial" w:hAnsi="Arial"/>
          <w:sz w:val="22"/>
          <w:szCs w:val="22"/>
        </w:rPr>
        <w:t xml:space="preserve">ElektroG (Elektro- und Elektronikgerätegesetz) beachten. Geräte über zertifizierte Recycler entsorgen. Datenträger sicher löschen (DSGVO).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Arbeitsplatz: </w:t>
      </w:r>
      <w:r>
        <w:rPr>
          <w:rFonts w:ascii="Arial" w:cs="Arial" w:eastAsia="Arial" w:hAnsi="Arial"/>
          <w:sz w:val="22"/>
          <w:szCs w:val="22"/>
        </w:rPr>
        <w:t xml:space="preserve">Paperless Office fördern, Duplexdruck als Standard, Cloud-Dienste statt lokaler Server.</w:t>
      </w:r>
    </w:p>
    <w:p>
      <w:pPr>
        <w:spacing w:after="120"/>
      </w:pPr>
    </w:p>
    <w:p>
      <w:pPr>
        <w:pStyle w:val="Heading2"/>
        <w:spacing w:before="240" w:after="120"/>
      </w:pPr>
      <w:r>
        <w:rPr>
          <w:rFonts w:ascii="Arial" w:cs="Arial" w:eastAsia="Arial" w:hAnsi="Arial"/>
          <w:b/>
          <w:bCs/>
          <w:color w:val="003366"/>
          <w:sz w:val="26"/>
          <w:szCs w:val="26"/>
        </w:rPr>
        <w:t xml:space="preserve">5.2 Zertifizierungen und Labels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Label</w:t>
            </w:r>
          </w:p>
        </w:tc>
        <w:tc>
          <w:tcPr>
            <w:tcW w:type="dxa" w:w="66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Energy Star</w:t>
            </w:r>
          </w:p>
        </w:tc>
        <w:tc>
          <w:tcPr>
            <w:tcW w:type="dxa" w:w="66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Internationales Label für energieeffiziente Bürogeräte (EPA)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Blauer Engel</w:t>
            </w:r>
          </w:p>
        </w:tc>
        <w:tc>
          <w:tcPr>
            <w:tcW w:type="dxa" w:w="66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Deutsches Umweltzeichen: geringer Energieverbrauch, recycelbar, schadstoffarm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EPEAT</w:t>
            </w:r>
          </w:p>
        </w:tc>
        <w:tc>
          <w:tcPr>
            <w:tcW w:type="dxa" w:w="66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Electronic Product Environmental Assessment Tool – Gold/Silber/Bronze</w:t>
            </w:r>
          </w:p>
        </w:tc>
      </w:tr>
      <w:t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TCO Certified</w:t>
            </w:r>
          </w:p>
        </w:tc>
        <w:tc>
          <w:tcPr>
            <w:tcW w:type="dxa" w:w="66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Schwedisches Label: Ergonomie, Umwelt, Sozialverantwortung, Qualität</w:t>
            </w:r>
          </w:p>
        </w:tc>
      </w:tr>
    </w:tbl>
    <w:p>
      <w:pPr>
        <w:spacing w:after="120"/>
      </w:pP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color w:val="003366"/>
          <w:sz w:val="32"/>
          <w:szCs w:val="32"/>
        </w:rPr>
        <w:t xml:space="preserve">6. IT-Zubehör für Barrierefreiheit</w:t>
      </w:r>
    </w:p>
    <w:p>
      <w:pPr>
        <w:spacing w:after="120" w:line="276"/>
      </w:pPr>
      <w:r>
        <w:rPr>
          <w:rFonts w:ascii="Arial" w:cs="Arial" w:eastAsia="Arial" w:hAnsi="Arial"/>
          <w:sz w:val="22"/>
          <w:szCs w:val="22"/>
        </w:rPr>
        <w:t xml:space="preserve">Barrierefreie IT-Arbeitsplätze ermöglichen allen Mitarbeitenden die gleichberechtigte Teilhabe am Arbeitsleben. Dies umfasst sowohl Hardware-Lösungen als auch Software-Anpassungen.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Einschränkung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Hardware-Lösung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Software-Lösung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Sehbehinderung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Großer Monitor, Braille-Zeile, Bildschirmlupe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Screenreader (JAWS, NVDA), Kontrastmodi, Sprachausgabe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Motorische Einschr.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Ergon. Tastatur, Trackball, Mundsteuerung, Augensteuerung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Spracheingabe, Einrastfunktion, Bildschirmtastatur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Hörbehinderung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Signalleuchten, Vibrationsmelder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Untertitel, visuelle Benachrichtigungen, Gebärden-Video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Kognitive Einschr.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Vereinfachte Eingabegeräte, große Tasten</w:t>
            </w:r>
          </w:p>
        </w:tc>
        <w:tc>
          <w:tcPr>
            <w:tcW w:type="dxa" w:w="34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Leichte Sprache, vereinfachte UI, Schritt-für-Schritt-Hilfen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3366" w:sz="2"/>
              <w:left w:val="single" w:color="003366" w:sz="6"/>
              <w:bottom w:val="single" w:color="8DB4D8" w:sz="1"/>
              <w:right w:val="single" w:color="8DB4D8" w:sz="1"/>
            </w:tcBorders>
            <w:shd w:fill="E8F0F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03366"/>
                <w:sz w:val="22"/>
                <w:szCs w:val="22"/>
              </w:rPr>
              <w:t xml:space="preserve">ℹ️  Lernziel erreicht?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Nach Durcharbeitung dieses Handouts solltest du in der Lage sein: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Verschiedene Bauformen von IT-Systemen zu benennen und deren Einsatzzweck zu begründen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DaaS als Dienstleistungsmodell zu erklären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Druckerarten zu vergleichen und Druckkosten zu berechnen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Scannertypen und deren Kenngrößen zu unterscheiden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Ergonomische Anforderungen an Bildschirmarbeitsplätze zu benennen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Green-IT-Maßnahmen und Zertifizierungen zu erklären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• Barrierefreie IT-Lösungen zu empfehlen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Seite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 |  bfw – Berufsfortbildungswerk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500"/>
      <w:gridCol w:w="2526"/>
    </w:tblGrid>
    <w:tr>
      <w:tc>
        <w:tcPr>
          <w:tcW w:type="dxa" w:w="6500"/>
          <w:tcBorders>
            <w:top w:val="none" w:sz="0"/>
            <w:left w:val="none" w:sz="0"/>
            <w:bottom w:val="single" w:color="003366" w:sz="2"/>
            <w:right w:val="none" w:sz="0"/>
          </w:tcBorders>
          <w:tcMar>
            <w:bottom w:type="dxa" w:w="60"/>
          </w:tcMar>
        </w:tcPr>
        <w:p>
          <w:r>
            <w:rPr>
              <w:rFonts w:ascii="Arial" w:cs="Arial" w:eastAsia="Arial" w:hAnsi="Arial"/>
              <w:b/>
              <w:bCs/>
              <w:color w:val="003366"/>
              <w:sz w:val="20"/>
              <w:szCs w:val="20"/>
            </w:rPr>
            <w:t xml:space="preserve">Handout: IT-Systeme &amp; Arbeitsplätze</w:t>
          </w:r>
        </w:p>
      </w:tc>
      <w:tc>
        <w:tcPr>
          <w:tcW w:type="dxa" w:w="2526"/>
          <w:tcBorders>
            <w:top w:val="none" w:sz="0"/>
            <w:left w:val="none" w:sz="0"/>
            <w:bottom w:val="single" w:color="003366" w:sz="2"/>
            <w:right w:val="none" w:sz="0"/>
          </w:tcBorders>
          <w:tcMar>
            <w:bottom w:type="dxa" w:w="60"/>
          </w:tcMar>
        </w:tcPr>
        <w:p>
          <w:pPr>
            <w:jc w:val="right"/>
          </w:pPr>
          <w:r>
            <w:rPr>
              <w:rFonts w:ascii="Arial" w:cs="Arial" w:eastAsia="Arial" w:hAnsi="Arial"/>
              <w:color w:val="003366"/>
              <w:sz w:val="18"/>
              <w:szCs w:val="18"/>
            </w:rPr>
            <w:t xml:space="preserve">Modul B – LF2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240" w:after="120"/>
      <w:outlineLvl w:val="1"/>
    </w:pPr>
    <w:rPr>
      <w:rFonts w:ascii="Arial" w:cs="Arial" w:eastAsia="Arial" w:hAnsi="Arial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2026-02-09T08:56:06.899Z</dcterms:created>
  <dcterms:modified xsi:type="dcterms:W3CDTF">2026-02-09T08:56:06.899Z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