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rFonts w:ascii="Arial" w:cs="Arial" w:eastAsia="Arial" w:hAnsi="Arial"/>
          <w:b/>
          <w:bCs/>
          <w:color w:val="2B579A"/>
          <w:sz w:val="40"/>
          <w:szCs w:val="40"/>
        </w:rPr>
        <w:t xml:space="preserve">Lernzettel – Modul B / Lernfeld 2</w:t>
      </w:r>
    </w:p>
    <w:p>
      <w:pPr>
        <w:spacing w:after="50"/>
      </w:pPr>
      <w:r>
        <w:rPr>
          <w:rFonts w:ascii="Arial" w:cs="Arial" w:eastAsia="Arial" w:hAnsi="Arial"/>
          <w:color w:val="555555"/>
          <w:sz w:val="28"/>
          <w:szCs w:val="28"/>
        </w:rPr>
        <w:t xml:space="preserve">Arbeitsplätze nach Kundenwunsch ausstatten – Technischer Teil</w:t>
      </w:r>
    </w:p>
    <w:p>
      <w:pPr>
        <w:pBdr>
          <w:bottom w:val="single" w:color="2B579A" w:sz="6" w:space="8"/>
        </w:pBdr>
        <w:spacing w:after="300"/>
      </w:pPr>
      <w:r>
        <w:rPr>
          <w:rFonts w:ascii="Arial" w:cs="Arial" w:eastAsia="Arial" w:hAnsi="Arial"/>
          <w:color w:val="777777"/>
          <w:sz w:val="22"/>
          <w:szCs w:val="22"/>
        </w:rPr>
        <w:t xml:space="preserve">bfw – Unternehmen für Bildung | Umschulung Fachinformatiker/-in</w:t>
      </w:r>
    </w:p>
    <w:p>
      <w:pPr>
        <w:pStyle w:val="Heading1"/>
        <w:spacing w:before="300" w:after="150"/>
      </w:pPr>
      <w:r>
        <w:rPr>
          <w:rFonts w:ascii="Arial" w:cs="Arial" w:eastAsia="Arial" w:hAnsi="Arial"/>
        </w:rPr>
        <w:t xml:space="preserve">1 – Arbeitsplatzergonomie</w:t>
      </w:r>
    </w:p>
    <w:p>
      <w:pPr>
        <w:pStyle w:val="Heading3"/>
        <w:spacing w:before="300" w:after="150"/>
      </w:pPr>
      <w:r>
        <w:rPr>
          <w:rFonts w:ascii="Arial" w:cs="Arial" w:eastAsia="Arial" w:hAnsi="Arial"/>
        </w:rPr>
        <w:t xml:space="preserve">Wichtige Vorschriften: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Vorschrift</w:t>
            </w:r>
          </w:p>
        </w:tc>
        <w:tc>
          <w:tcPr>
            <w:tcW w:type="dxa" w:w="63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Regelt ...</w:t>
            </w:r>
          </w:p>
        </w:tc>
      </w:tr>
      <w:tr>
        <w:tc>
          <w:tcPr>
            <w:tcW w:type="dxa" w:w="3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Arbeitsstättenverordnung (ArbStättV)</w:t>
            </w:r>
          </w:p>
        </w:tc>
        <w:tc>
          <w:tcPr>
            <w:tcW w:type="dxa" w:w="63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Grundlegende Anforderungen an Arbeitsstätten; verpflichtet Arbeitgeber zur Gefährdungsbeurteilung</w:t>
            </w:r>
          </w:p>
        </w:tc>
      </w:tr>
      <w:tr>
        <w:tc>
          <w:tcPr>
            <w:tcW w:type="dxa" w:w="3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ASR A1.2</w:t>
            </w:r>
          </w:p>
        </w:tc>
        <w:tc>
          <w:tcPr>
            <w:tcW w:type="dxa" w:w="63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Raumabmessungen: mind. 8–10 m² pro Bildschirmarbeitsplatz</w:t>
            </w:r>
          </w:p>
        </w:tc>
      </w:tr>
      <w:tr>
        <w:tc>
          <w:tcPr>
            <w:tcW w:type="dxa" w:w="3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DGUV Information 215-410</w:t>
            </w:r>
          </w:p>
        </w:tc>
        <w:tc>
          <w:tcPr>
            <w:tcW w:type="dxa" w:w="63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Konkrete Empfehlungen: Sehentfernung, Beleuchtung, Monitorposition, Mobiliar</w:t>
            </w:r>
          </w:p>
        </w:tc>
      </w:tr>
      <w:tr>
        <w:tc>
          <w:tcPr>
            <w:tcW w:type="dxa" w:w="3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DIN EN ISO 9241</w:t>
            </w:r>
          </w:p>
        </w:tc>
        <w:tc>
          <w:tcPr>
            <w:tcW w:type="dxa" w:w="63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Ergonomie der Mensch-System-Interaktion (Software + Hardware)</w:t>
            </w:r>
          </w:p>
        </w:tc>
      </w:tr>
    </w:tbl>
    <w:p>
      <w:pPr>
        <w:spacing w:before="200"/>
      </w:pPr>
    </w:p>
    <w:p>
      <w:pPr>
        <w:pStyle w:val="Heading3"/>
        <w:spacing w:before="300" w:after="150"/>
      </w:pPr>
      <w:r>
        <w:rPr>
          <w:rFonts w:ascii="Arial" w:cs="Arial" w:eastAsia="Arial" w:hAnsi="Arial"/>
        </w:rPr>
        <w:t xml:space="preserve">Richtwerte: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60"/>
      </w:tblGrid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Kriterium</w:t>
            </w:r>
          </w:p>
        </w:tc>
        <w:tc>
          <w:tcPr>
            <w:tcW w:type="dxa" w:w="65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Empfehlung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Sehentfernung Monitor</w:t>
            </w:r>
          </w:p>
        </w:tc>
        <w:tc>
          <w:tcPr>
            <w:tcW w:type="dxa" w:w="65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50–70 cm (abh. von Monitorgröße)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Monitoroberkante</w:t>
            </w:r>
          </w:p>
        </w:tc>
        <w:tc>
          <w:tcPr>
            <w:tcW w:type="dxa" w:w="65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Auf Augenhöhe oder leicht darunter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Beleuchtung</w:t>
            </w:r>
          </w:p>
        </w:tc>
        <w:tc>
          <w:tcPr>
            <w:tcW w:type="dxa" w:w="65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ca. 500 Lux, blendfrei, Tageslicht seitlich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Raumtemperatur</w:t>
            </w:r>
          </w:p>
        </w:tc>
        <w:tc>
          <w:tcPr>
            <w:tcW w:type="dxa" w:w="65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20–26 °C (leichte sitzende Tätigkeit)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Fläche pro Arbeitsplatz</w:t>
            </w:r>
          </w:p>
        </w:tc>
        <w:tc>
          <w:tcPr>
            <w:tcW w:type="dxa" w:w="65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mind. 8–10 m² (inkl. Mobiliar, Verkehrswege)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Unterarme / Tastatur</w:t>
            </w:r>
          </w:p>
        </w:tc>
        <w:tc>
          <w:tcPr>
            <w:tcW w:type="dxa" w:w="65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Waagerecht oder leicht geneigt, Ellenbogen ca. 90°</w:t>
            </w:r>
          </w:p>
        </w:tc>
      </w:tr>
    </w:tbl>
    <w:p>
      <w:pPr>
        <w:pBdr>
          <w:left w:val="single" w:color="2B579A" w:sz="12" w:space="8"/>
        </w:pBdr>
        <w:spacing w:before="150" w:after="150"/>
        <w:ind w:left="200"/>
      </w:pPr>
      <w:r>
        <w:rPr>
          <w:rFonts w:ascii="Arial" w:cs="Arial" w:eastAsia="Arial" w:hAnsi="Arial"/>
          <w:b/>
          <w:bCs/>
          <w:color w:val="2B579A"/>
          <w:sz w:val="22"/>
          <w:szCs w:val="22"/>
        </w:rPr>
        <w:t xml:space="preserve">Prüfungstipp: </w:t>
      </w:r>
      <w:r>
        <w:rPr>
          <w:rFonts w:ascii="Arial" w:cs="Arial" w:eastAsia="Arial" w:hAnsi="Arial"/>
          <w:i/>
          <w:iCs/>
          <w:color w:val="444444"/>
          <w:sz w:val="22"/>
          <w:szCs w:val="22"/>
        </w:rPr>
        <w:t xml:space="preserve">IHK fragt selten nach exakten Lux-Zahlen, sondern situativ: „Was ist falsch an diesem Arbeitsplatz?“ → Problem erkennen + Maßnahme begründen!</w:t>
      </w:r>
    </w:p>
    <w:p>
      <w:r>
        <w:br w:type="page"/>
      </w:r>
    </w:p>
    <w:p>
      <w:pPr>
        <w:pStyle w:val="Heading1"/>
        <w:spacing w:before="300" w:after="150"/>
      </w:pPr>
      <w:r>
        <w:rPr>
          <w:rFonts w:ascii="Arial" w:cs="Arial" w:eastAsia="Arial" w:hAnsi="Arial"/>
        </w:rPr>
        <w:t xml:space="preserve">2 – Rechnerarchitekturen</w:t>
      </w:r>
    </w:p>
    <w:p>
      <w:pPr>
        <w:pStyle w:val="Heading3"/>
        <w:spacing w:before="300" w:after="150"/>
      </w:pPr>
      <w:r>
        <w:rPr>
          <w:rFonts w:ascii="Arial" w:cs="Arial" w:eastAsia="Arial" w:hAnsi="Arial"/>
        </w:rPr>
        <w:t xml:space="preserve">Von-Neumann vs. Harvard: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680"/>
        <w:gridCol w:w="3680"/>
      </w:tblGrid>
      <w:tr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Merkmal</w:t>
            </w:r>
          </w:p>
        </w:tc>
        <w:tc>
          <w:tcPr>
            <w:tcW w:type="dxa" w:w="36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Von-Neumann</w:t>
            </w:r>
          </w:p>
        </w:tc>
        <w:tc>
          <w:tcPr>
            <w:tcW w:type="dxa" w:w="36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Harvard</w:t>
            </w:r>
          </w:p>
        </w:tc>
      </w:tr>
      <w:tr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Speicher</w:t>
            </w:r>
          </w:p>
        </w:tc>
        <w:tc>
          <w:tcPr>
            <w:tcW w:type="dxa" w:w="36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Gemeinsam für Daten + Befehle</w:t>
            </w:r>
          </w:p>
        </w:tc>
        <w:tc>
          <w:tcPr>
            <w:tcW w:type="dxa" w:w="36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Getrennt: Daten- und Programmspeicher</w:t>
            </w:r>
          </w:p>
        </w:tc>
      </w:tr>
      <w:tr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Bus-System</w:t>
            </w:r>
          </w:p>
        </w:tc>
        <w:tc>
          <w:tcPr>
            <w:tcW w:type="dxa" w:w="36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Ein Bus (sequenziell)</w:t>
            </w:r>
          </w:p>
        </w:tc>
        <w:tc>
          <w:tcPr>
            <w:tcW w:type="dxa" w:w="36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Getrennte Busse (parallel möglich)</w:t>
            </w:r>
          </w:p>
        </w:tc>
      </w:tr>
      <w:tr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Flaschenhals</w:t>
            </w:r>
          </w:p>
        </w:tc>
        <w:tc>
          <w:tcPr>
            <w:tcW w:type="dxa" w:w="36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Ja – Bus wird geteilt</w:t>
            </w:r>
          </w:p>
        </w:tc>
        <w:tc>
          <w:tcPr>
            <w:tcW w:type="dxa" w:w="36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Nein – gleichzeitiger Zugriff</w:t>
            </w:r>
          </w:p>
        </w:tc>
      </w:tr>
      <w:tr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Einsatz</w:t>
            </w:r>
          </w:p>
        </w:tc>
        <w:tc>
          <w:tcPr>
            <w:tcW w:type="dxa" w:w="36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Desktop-PCs, Server, Laptops</w:t>
            </w:r>
          </w:p>
        </w:tc>
        <w:tc>
          <w:tcPr>
            <w:tcW w:type="dxa" w:w="36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Mikrocontroller, DSPs, Arduino</w:t>
            </w:r>
          </w:p>
        </w:tc>
      </w:tr>
      <w:tr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Flexibilität</w:t>
            </w:r>
          </w:p>
        </w:tc>
        <w:tc>
          <w:tcPr>
            <w:tcW w:type="dxa" w:w="36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Hoch (Programme änderbar)</w:t>
            </w:r>
          </w:p>
        </w:tc>
        <w:tc>
          <w:tcPr>
            <w:tcW w:type="dxa" w:w="368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Eingeschränkt (oft feste Programme)</w:t>
            </w:r>
          </w:p>
        </w:tc>
      </w:tr>
    </w:tbl>
    <w:p>
      <w:pPr>
        <w:spacing w:before="200"/>
      </w:pPr>
    </w:p>
    <w:p>
      <w:pPr>
        <w:pStyle w:val="Heading3"/>
        <w:spacing w:before="300" w:after="150"/>
      </w:pPr>
      <w:r>
        <w:rPr>
          <w:rFonts w:ascii="Arial" w:cs="Arial" w:eastAsia="Arial" w:hAnsi="Arial"/>
        </w:rPr>
        <w:t xml:space="preserve">5 Funktionseinheiten (Von-Neumann):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60"/>
      </w:tblGrid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Einheit</w:t>
            </w:r>
          </w:p>
        </w:tc>
        <w:tc>
          <w:tcPr>
            <w:tcW w:type="dxa" w:w="65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Aufgabe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1. Rechenwerk (ALU)</w:t>
            </w:r>
          </w:p>
        </w:tc>
        <w:tc>
          <w:tcPr>
            <w:tcW w:type="dxa" w:w="65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Führt arithmetische (+, –, ×, ÷) und logische (AND, OR, NOT) Operationen aus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2. Steuerwerk (CU)</w:t>
            </w:r>
          </w:p>
        </w:tc>
        <w:tc>
          <w:tcPr>
            <w:tcW w:type="dxa" w:w="65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Holt, dekodiert und steuert die Ausführung von Befehlen; koordiniert alle Einheiten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3. Speicherwerk</w:t>
            </w:r>
          </w:p>
        </w:tc>
        <w:tc>
          <w:tcPr>
            <w:tcW w:type="dxa" w:w="65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Speichert Daten UND Programme im selben Speicher (RAM)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4. Eingabewerk</w:t>
            </w:r>
          </w:p>
        </w:tc>
        <w:tc>
          <w:tcPr>
            <w:tcW w:type="dxa" w:w="65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Nimmt Daten von außen entgegen (Tastatur, Maus, Scanner, Netzwerk)</w:t>
            </w:r>
          </w:p>
        </w:tc>
      </w:tr>
      <w:tr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5. Ausgabewerk</w:t>
            </w:r>
          </w:p>
        </w:tc>
        <w:tc>
          <w:tcPr>
            <w:tcW w:type="dxa" w:w="65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Gibt Ergebnisse aus (Monitor, Drucker, Lautsprecher, Netzwerk)</w:t>
            </w:r>
          </w:p>
        </w:tc>
      </w:tr>
    </w:tbl>
    <w:p>
      <w:pPr>
        <w:spacing w:before="200"/>
      </w:pPr>
    </w:p>
    <w:p>
      <w:pPr>
        <w:pStyle w:val="Heading3"/>
        <w:spacing w:before="300" w:after="150"/>
      </w:pPr>
      <w:r>
        <w:rPr>
          <w:rFonts w:ascii="Arial" w:cs="Arial" w:eastAsia="Arial" w:hAnsi="Arial"/>
        </w:rPr>
        <w:t xml:space="preserve">Von-Neumann-Flaschenhals:</w:t>
      </w:r>
    </w:p>
    <w:p>
      <w:pPr>
        <w:spacing w:before="100" w:after="100"/>
      </w:pPr>
      <w:r>
        <w:rPr>
          <w:rFonts w:ascii="Arial" w:cs="Arial" w:eastAsia="Arial" w:hAnsi="Arial"/>
          <w:sz w:val="22"/>
          <w:szCs w:val="22"/>
        </w:rPr>
        <w:t xml:space="preserve">Daten und Befehle teilen sich einen Bus → CPU muss abwechselnd Befehle holen und Daten lesen → Bus wird zum Engpass. Lösungen: Cache-Speicher (L1/L2/L3), Pipelining, getrennte L1-Caches (Harvard-Elemente in modernen CPUs).</w:t>
      </w:r>
    </w:p>
    <w:p>
      <w:pPr>
        <w:spacing w:before="200"/>
      </w:pPr>
    </w:p>
    <w:p>
      <w:pPr>
        <w:pStyle w:val="Heading3"/>
        <w:spacing w:before="300" w:after="150"/>
      </w:pPr>
      <w:r>
        <w:rPr>
          <w:rFonts w:ascii="Arial" w:cs="Arial" w:eastAsia="Arial" w:hAnsi="Arial"/>
        </w:rPr>
        <w:t xml:space="preserve">Johnny-Simulator – Befehlssatz: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7360"/>
      </w:tblGrid>
      <w:tr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Befehl</w:t>
            </w:r>
          </w:p>
        </w:tc>
        <w:tc>
          <w:tcPr>
            <w:tcW w:type="dxa" w:w="73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Wirkung</w:t>
            </w:r>
          </w:p>
        </w:tc>
      </w:tr>
      <w:tr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TAKE x</w:t>
            </w:r>
          </w:p>
        </w:tc>
        <w:tc>
          <w:tcPr>
            <w:tcW w:type="dxa" w:w="73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Lade Inhalt von Speicherzelle x in den Akkumulator</w:t>
            </w:r>
          </w:p>
        </w:tc>
      </w:tr>
      <w:tr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ADD x</w:t>
            </w:r>
          </w:p>
        </w:tc>
        <w:tc>
          <w:tcPr>
            <w:tcW w:type="dxa" w:w="73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Addiere Inhalt von Zelle x zum Akkumulator</w:t>
            </w:r>
          </w:p>
        </w:tc>
      </w:tr>
      <w:tr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SUB x</w:t>
            </w:r>
          </w:p>
        </w:tc>
        <w:tc>
          <w:tcPr>
            <w:tcW w:type="dxa" w:w="73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Subtrahiere Inhalt von Zelle x vom Akkumulator</w:t>
            </w:r>
          </w:p>
        </w:tc>
      </w:tr>
      <w:tr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SAVE x</w:t>
            </w:r>
          </w:p>
        </w:tc>
        <w:tc>
          <w:tcPr>
            <w:tcW w:type="dxa" w:w="73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Speichere Akkumulator-Inhalt in Zelle x</w:t>
            </w:r>
          </w:p>
        </w:tc>
      </w:tr>
      <w:tr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INC x</w:t>
            </w:r>
          </w:p>
        </w:tc>
        <w:tc>
          <w:tcPr>
            <w:tcW w:type="dxa" w:w="73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Erhöhe den Wert in Zelle x um 1</w:t>
            </w:r>
          </w:p>
        </w:tc>
      </w:tr>
      <w:tr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DEC x</w:t>
            </w:r>
          </w:p>
        </w:tc>
        <w:tc>
          <w:tcPr>
            <w:tcW w:type="dxa" w:w="73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Verringere den Wert in Zelle x um 1</w:t>
            </w:r>
          </w:p>
        </w:tc>
      </w:tr>
      <w:tr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NULL</w:t>
            </w:r>
          </w:p>
        </w:tc>
        <w:tc>
          <w:tcPr>
            <w:tcW w:type="dxa" w:w="73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Setze Akkumulator auf 0</w:t>
            </w:r>
          </w:p>
        </w:tc>
      </w:tr>
      <w:tr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TST x</w:t>
            </w:r>
          </w:p>
        </w:tc>
        <w:tc>
          <w:tcPr>
            <w:tcW w:type="dxa" w:w="73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Wenn Zelle x = 0, überspringe nächsten Befehl</w:t>
            </w:r>
          </w:p>
        </w:tc>
      </w:tr>
      <w:tr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JMP x</w:t>
            </w:r>
          </w:p>
        </w:tc>
        <w:tc>
          <w:tcPr>
            <w:tcW w:type="dxa" w:w="73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Springe zu Adresse x (unbedingter Sprung)</w:t>
            </w:r>
          </w:p>
        </w:tc>
      </w:tr>
      <w:tr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HLT</w:t>
            </w:r>
          </w:p>
        </w:tc>
        <w:tc>
          <w:tcPr>
            <w:tcW w:type="dxa" w:w="73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Programm anhalten</w:t>
            </w:r>
          </w:p>
        </w:tc>
      </w:tr>
    </w:tbl>
    <w:p>
      <w:r>
        <w:br w:type="page"/>
      </w:r>
    </w:p>
    <w:p>
      <w:pPr>
        <w:pStyle w:val="Heading1"/>
        <w:spacing w:before="300" w:after="150"/>
      </w:pPr>
      <w:r>
        <w:rPr>
          <w:rFonts w:ascii="Arial" w:cs="Arial" w:eastAsia="Arial" w:hAnsi="Arial"/>
        </w:rPr>
        <w:t xml:space="preserve">3 – Komponenten, Schnittstellen und Bauformen</w:t>
      </w:r>
    </w:p>
    <w:p>
      <w:pPr>
        <w:pStyle w:val="Heading3"/>
        <w:spacing w:before="300" w:after="150"/>
      </w:pPr>
      <w:r>
        <w:rPr>
          <w:rFonts w:ascii="Arial" w:cs="Arial" w:eastAsia="Arial" w:hAnsi="Arial"/>
        </w:rPr>
        <w:t xml:space="preserve">Wichtige Schnittstellen (inkl. älterer und neuerer Generationen):</w:t>
      </w:r>
    </w:p>
    <w:p>
      <w:pPr>
        <w:pBdr>
          <w:left w:val="single" w:color="D4A017" w:sz="12" w:space="8"/>
        </w:pBdr>
        <w:spacing w:before="150" w:after="150"/>
        <w:ind w:left="200"/>
      </w:pPr>
      <w:r>
        <w:rPr>
          <w:rFonts w:ascii="Arial" w:cs="Arial" w:eastAsia="Arial" w:hAnsi="Arial"/>
          <w:b/>
          <w:bCs/>
          <w:color w:val="D4A017"/>
          <w:sz w:val="22"/>
          <w:szCs w:val="22"/>
        </w:rPr>
        <w:t xml:space="preserve">★ Aktualisiert: </w:t>
      </w:r>
      <w:r>
        <w:rPr>
          <w:rFonts w:ascii="Arial" w:cs="Arial" w:eastAsia="Arial" w:hAnsi="Arial"/>
          <w:color w:val="555555"/>
          <w:sz w:val="22"/>
          <w:szCs w:val="22"/>
        </w:rPr>
        <w:t xml:space="preserve">Tabelle um PCIe Gen3/Gen5, USB 2.0, USB4, Thunderbolt 3/5, DisplayPort 2.1 und NVMe-Generationen ergänzt.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800"/>
        <w:gridCol w:w="1960"/>
        <w:gridCol w:w="1200"/>
        <w:gridCol w:w="3800"/>
      </w:tblGrid>
      <w:tr>
        <w:tc>
          <w:tcPr>
            <w:tcW w:type="dxa" w:w="1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Schnittstelle</w:t>
            </w:r>
          </w:p>
        </w:tc>
        <w:tc>
          <w:tcPr>
            <w:tcW w:type="dxa" w:w="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int./ext.</w:t>
            </w:r>
          </w:p>
        </w:tc>
        <w:tc>
          <w:tcPr>
            <w:tcW w:type="dxa" w:w="19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Max. Datenrate</w:t>
            </w:r>
          </w:p>
        </w:tc>
        <w:tc>
          <w:tcPr>
            <w:tcW w:type="dxa" w:w="1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Generation</w:t>
            </w:r>
          </w:p>
        </w:tc>
        <w:tc>
          <w:tcPr>
            <w:tcW w:type="dxa" w:w="3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Typischer Einsatz</w:t>
            </w:r>
          </w:p>
        </w:tc>
      </w:tr>
      <w:tr>
        <w:tc>
          <w:tcPr>
            <w:tcW w:type="dxa" w:w="1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SATA III</w:t>
            </w:r>
          </w:p>
        </w:tc>
        <w:tc>
          <w:tcPr>
            <w:tcW w:type="dxa" w:w="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intern</w:t>
            </w:r>
          </w:p>
        </w:tc>
        <w:tc>
          <w:tcPr>
            <w:tcW w:type="dxa" w:w="19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6 Gbit/s ≈ 600 MB/s</w:t>
            </w:r>
          </w:p>
        </w:tc>
        <w:tc>
          <w:tcPr>
            <w:tcW w:type="dxa" w:w="1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–</w:t>
            </w:r>
          </w:p>
        </w:tc>
        <w:tc>
          <w:tcPr>
            <w:tcW w:type="dxa" w:w="3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2,5″/3,5″-Festplatten und SATA-SSDs</w:t>
            </w:r>
          </w:p>
        </w:tc>
      </w:tr>
      <w:tr>
        <w:tc>
          <w:tcPr>
            <w:tcW w:type="dxa" w:w="1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M.2 (NVMe)</w:t>
            </w:r>
          </w:p>
        </w:tc>
        <w:tc>
          <w:tcPr>
            <w:tcW w:type="dxa" w:w="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intern</w:t>
            </w:r>
          </w:p>
        </w:tc>
        <w:tc>
          <w:tcPr>
            <w:tcW w:type="dxa" w:w="19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~3,5 GB/s</w:t>
            </w:r>
          </w:p>
        </w:tc>
        <w:tc>
          <w:tcPr>
            <w:tcW w:type="dxa" w:w="1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PCIe Gen3 x4</w:t>
            </w:r>
          </w:p>
        </w:tc>
        <w:tc>
          <w:tcPr>
            <w:tcW w:type="dxa" w:w="3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Ältere NVMe-SSDs (z.B. Samsung 970 EVO)</w:t>
            </w:r>
          </w:p>
        </w:tc>
      </w:tr>
      <w:tr>
        <w:tc>
          <w:tcPr>
            <w:tcW w:type="dxa" w:w="1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3C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M.2 (NVMe)</w:t>
            </w:r>
          </w:p>
        </w:tc>
        <w:tc>
          <w:tcPr>
            <w:tcW w:type="dxa" w:w="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3C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intern</w:t>
            </w:r>
          </w:p>
        </w:tc>
        <w:tc>
          <w:tcPr>
            <w:tcW w:type="dxa" w:w="19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3C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~7 GB/s</w:t>
            </w:r>
          </w:p>
        </w:tc>
        <w:tc>
          <w:tcPr>
            <w:tcW w:type="dxa" w:w="1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3C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PCIe Gen4 x4</w:t>
            </w:r>
          </w:p>
        </w:tc>
        <w:tc>
          <w:tcPr>
            <w:tcW w:type="dxa" w:w="3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3C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Aktuelle System-SSDs (z.B. Samsung 990 Pro)</w:t>
            </w:r>
          </w:p>
        </w:tc>
      </w:tr>
      <w:tr>
        <w:tc>
          <w:tcPr>
            <w:tcW w:type="dxa" w:w="1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3C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M.2 (NVMe)</w:t>
            </w:r>
          </w:p>
        </w:tc>
        <w:tc>
          <w:tcPr>
            <w:tcW w:type="dxa" w:w="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3C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intern</w:t>
            </w:r>
          </w:p>
        </w:tc>
        <w:tc>
          <w:tcPr>
            <w:tcW w:type="dxa" w:w="19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3C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~14 GB/s</w:t>
            </w:r>
          </w:p>
        </w:tc>
        <w:tc>
          <w:tcPr>
            <w:tcW w:type="dxa" w:w="1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3C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PCIe Gen5 x4</w:t>
            </w:r>
          </w:p>
        </w:tc>
        <w:tc>
          <w:tcPr>
            <w:tcW w:type="dxa" w:w="3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3C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High-End-SSDs (z.B. Crucial T705, Samsung 990 EVO Plus)</w:t>
            </w:r>
          </w:p>
        </w:tc>
      </w:tr>
      <w:tr>
        <w:tc>
          <w:tcPr>
            <w:tcW w:type="dxa" w:w="1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PCIe 3.0 x16</w:t>
            </w:r>
          </w:p>
        </w:tc>
        <w:tc>
          <w:tcPr>
            <w:tcW w:type="dxa" w:w="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intern</w:t>
            </w:r>
          </w:p>
        </w:tc>
        <w:tc>
          <w:tcPr>
            <w:tcW w:type="dxa" w:w="19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~16 GB/s</w:t>
            </w:r>
          </w:p>
        </w:tc>
        <w:tc>
          <w:tcPr>
            <w:tcW w:type="dxa" w:w="1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Gen3</w:t>
            </w:r>
          </w:p>
        </w:tc>
        <w:tc>
          <w:tcPr>
            <w:tcW w:type="dxa" w:w="3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Ältere Grafikkarten, NVMe-Karten</w:t>
            </w:r>
          </w:p>
        </w:tc>
      </w:tr>
      <w:tr>
        <w:tc>
          <w:tcPr>
            <w:tcW w:type="dxa" w:w="1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PCIe 4.0 x16</w:t>
            </w:r>
          </w:p>
        </w:tc>
        <w:tc>
          <w:tcPr>
            <w:tcW w:type="dxa" w:w="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intern</w:t>
            </w:r>
          </w:p>
        </w:tc>
        <w:tc>
          <w:tcPr>
            <w:tcW w:type="dxa" w:w="19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~32 GB/s</w:t>
            </w:r>
          </w:p>
        </w:tc>
        <w:tc>
          <w:tcPr>
            <w:tcW w:type="dxa" w:w="1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Gen4</w:t>
            </w:r>
          </w:p>
        </w:tc>
        <w:tc>
          <w:tcPr>
            <w:tcW w:type="dxa" w:w="3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Aktuelle dedizierte Grafikkarten</w:t>
            </w:r>
          </w:p>
        </w:tc>
      </w:tr>
      <w:tr>
        <w:tc>
          <w:tcPr>
            <w:tcW w:type="dxa" w:w="1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3C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PCIe 5.0 x16</w:t>
            </w:r>
          </w:p>
        </w:tc>
        <w:tc>
          <w:tcPr>
            <w:tcW w:type="dxa" w:w="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3C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intern</w:t>
            </w:r>
          </w:p>
        </w:tc>
        <w:tc>
          <w:tcPr>
            <w:tcW w:type="dxa" w:w="19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3C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~64 GB/s</w:t>
            </w:r>
          </w:p>
        </w:tc>
        <w:tc>
          <w:tcPr>
            <w:tcW w:type="dxa" w:w="1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3C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Gen5</w:t>
            </w:r>
          </w:p>
        </w:tc>
        <w:tc>
          <w:tcPr>
            <w:tcW w:type="dxa" w:w="3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3C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Neueste GPUs und SSDs (ab Intel 12. Gen / AMD Zen 4)</w:t>
            </w:r>
          </w:p>
        </w:tc>
      </w:tr>
      <w:tr>
        <w:tc>
          <w:tcPr>
            <w:tcW w:type="dxa" w:w="1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3C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USB 2.0</w:t>
            </w:r>
          </w:p>
        </w:tc>
        <w:tc>
          <w:tcPr>
            <w:tcW w:type="dxa" w:w="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3C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extern</w:t>
            </w:r>
          </w:p>
        </w:tc>
        <w:tc>
          <w:tcPr>
            <w:tcW w:type="dxa" w:w="19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3C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480 Mbit/s</w:t>
            </w:r>
          </w:p>
        </w:tc>
        <w:tc>
          <w:tcPr>
            <w:tcW w:type="dxa" w:w="1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3C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–</w:t>
            </w:r>
          </w:p>
        </w:tc>
        <w:tc>
          <w:tcPr>
            <w:tcW w:type="dxa" w:w="3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3C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Tastatur, Maus, einfache Peripherie</w:t>
            </w:r>
          </w:p>
        </w:tc>
      </w:tr>
      <w:tr>
        <w:tc>
          <w:tcPr>
            <w:tcW w:type="dxa" w:w="1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USB 3.2 Gen 1</w:t>
            </w:r>
          </w:p>
        </w:tc>
        <w:tc>
          <w:tcPr>
            <w:tcW w:type="dxa" w:w="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extern</w:t>
            </w:r>
          </w:p>
        </w:tc>
        <w:tc>
          <w:tcPr>
            <w:tcW w:type="dxa" w:w="19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5 Gbit/s</w:t>
            </w:r>
          </w:p>
        </w:tc>
        <w:tc>
          <w:tcPr>
            <w:tcW w:type="dxa" w:w="1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(ehem. USB 3.0)</w:t>
            </w:r>
          </w:p>
        </w:tc>
        <w:tc>
          <w:tcPr>
            <w:tcW w:type="dxa" w:w="3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Externe Festplatten, USB-Sticks</w:t>
            </w:r>
          </w:p>
        </w:tc>
      </w:tr>
      <w:tr>
        <w:tc>
          <w:tcPr>
            <w:tcW w:type="dxa" w:w="1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USB 3.2 Gen 2</w:t>
            </w:r>
          </w:p>
        </w:tc>
        <w:tc>
          <w:tcPr>
            <w:tcW w:type="dxa" w:w="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extern</w:t>
            </w:r>
          </w:p>
        </w:tc>
        <w:tc>
          <w:tcPr>
            <w:tcW w:type="dxa" w:w="19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10 Gbit/s</w:t>
            </w:r>
          </w:p>
        </w:tc>
        <w:tc>
          <w:tcPr>
            <w:tcW w:type="dxa" w:w="1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(ehem. USB 3.1)</w:t>
            </w:r>
          </w:p>
        </w:tc>
        <w:tc>
          <w:tcPr>
            <w:tcW w:type="dxa" w:w="3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Externe SSDs, Docks</w:t>
            </w:r>
          </w:p>
        </w:tc>
      </w:tr>
      <w:tr>
        <w:tc>
          <w:tcPr>
            <w:tcW w:type="dxa" w:w="1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3C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USB4</w:t>
            </w:r>
          </w:p>
        </w:tc>
        <w:tc>
          <w:tcPr>
            <w:tcW w:type="dxa" w:w="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3C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extern</w:t>
            </w:r>
          </w:p>
        </w:tc>
        <w:tc>
          <w:tcPr>
            <w:tcW w:type="dxa" w:w="19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3C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40–80 Gbit/s</w:t>
            </w:r>
          </w:p>
        </w:tc>
        <w:tc>
          <w:tcPr>
            <w:tcW w:type="dxa" w:w="1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3C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v1.0 / v2.0</w:t>
            </w:r>
          </w:p>
        </w:tc>
        <w:tc>
          <w:tcPr>
            <w:tcW w:type="dxa" w:w="3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3C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Universalanschluss (basiert auf TB3-Protokoll)</w:t>
            </w:r>
          </w:p>
        </w:tc>
      </w:tr>
      <w:tr>
        <w:tc>
          <w:tcPr>
            <w:tcW w:type="dxa" w:w="1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3C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Thunderbolt 3</w:t>
            </w:r>
          </w:p>
        </w:tc>
        <w:tc>
          <w:tcPr>
            <w:tcW w:type="dxa" w:w="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3C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extern</w:t>
            </w:r>
          </w:p>
        </w:tc>
        <w:tc>
          <w:tcPr>
            <w:tcW w:type="dxa" w:w="19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3C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40 Gbit/s</w:t>
            </w:r>
          </w:p>
        </w:tc>
        <w:tc>
          <w:tcPr>
            <w:tcW w:type="dxa" w:w="1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3C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TB3</w:t>
            </w:r>
          </w:p>
        </w:tc>
        <w:tc>
          <w:tcPr>
            <w:tcW w:type="dxa" w:w="3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3C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Docking, ext. GPU (USB-C-Stecker)</w:t>
            </w:r>
          </w:p>
        </w:tc>
      </w:tr>
      <w:tr>
        <w:tc>
          <w:tcPr>
            <w:tcW w:type="dxa" w:w="1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Thunderbolt 4</w:t>
            </w:r>
          </w:p>
        </w:tc>
        <w:tc>
          <w:tcPr>
            <w:tcW w:type="dxa" w:w="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extern</w:t>
            </w:r>
          </w:p>
        </w:tc>
        <w:tc>
          <w:tcPr>
            <w:tcW w:type="dxa" w:w="19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40 Gbit/s</w:t>
            </w:r>
          </w:p>
        </w:tc>
        <w:tc>
          <w:tcPr>
            <w:tcW w:type="dxa" w:w="1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TB4</w:t>
            </w:r>
          </w:p>
        </w:tc>
        <w:tc>
          <w:tcPr>
            <w:tcW w:type="dxa" w:w="3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Docking, Monitore, ext. GPU (höhere Mindestanforderungen als TB3)</w:t>
            </w:r>
          </w:p>
        </w:tc>
      </w:tr>
      <w:tr>
        <w:tc>
          <w:tcPr>
            <w:tcW w:type="dxa" w:w="1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3C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Thunderbolt 5</w:t>
            </w:r>
          </w:p>
        </w:tc>
        <w:tc>
          <w:tcPr>
            <w:tcW w:type="dxa" w:w="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3C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extern</w:t>
            </w:r>
          </w:p>
        </w:tc>
        <w:tc>
          <w:tcPr>
            <w:tcW w:type="dxa" w:w="19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3C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80 Gbit/s (120 asym.)</w:t>
            </w:r>
          </w:p>
        </w:tc>
        <w:tc>
          <w:tcPr>
            <w:tcW w:type="dxa" w:w="1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3C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TB5</w:t>
            </w:r>
          </w:p>
        </w:tc>
        <w:tc>
          <w:tcPr>
            <w:tcW w:type="dxa" w:w="3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3C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Neueste Docks, Monitore, ext. GPU (ab 2024)</w:t>
            </w:r>
          </w:p>
        </w:tc>
      </w:tr>
      <w:tr>
        <w:tc>
          <w:tcPr>
            <w:tcW w:type="dxa" w:w="1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DisplayPort 1.4</w:t>
            </w:r>
          </w:p>
        </w:tc>
        <w:tc>
          <w:tcPr>
            <w:tcW w:type="dxa" w:w="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extern</w:t>
            </w:r>
          </w:p>
        </w:tc>
        <w:tc>
          <w:tcPr>
            <w:tcW w:type="dxa" w:w="19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32,4 Gbit/s</w:t>
            </w:r>
          </w:p>
        </w:tc>
        <w:tc>
          <w:tcPr>
            <w:tcW w:type="dxa" w:w="1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DP 1.4</w:t>
            </w:r>
          </w:p>
        </w:tc>
        <w:tc>
          <w:tcPr>
            <w:tcW w:type="dxa" w:w="3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Monitore bis 4K@120Hz, Daisy-Chain möglich</w:t>
            </w:r>
          </w:p>
        </w:tc>
      </w:tr>
      <w:tr>
        <w:tc>
          <w:tcPr>
            <w:tcW w:type="dxa" w:w="1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3C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DisplayPort 2.1</w:t>
            </w:r>
          </w:p>
        </w:tc>
        <w:tc>
          <w:tcPr>
            <w:tcW w:type="dxa" w:w="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3C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extern</w:t>
            </w:r>
          </w:p>
        </w:tc>
        <w:tc>
          <w:tcPr>
            <w:tcW w:type="dxa" w:w="19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3C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bis 80 Gbit/s</w:t>
            </w:r>
          </w:p>
        </w:tc>
        <w:tc>
          <w:tcPr>
            <w:tcW w:type="dxa" w:w="1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3C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DP 2.1</w:t>
            </w:r>
          </w:p>
        </w:tc>
        <w:tc>
          <w:tcPr>
            <w:tcW w:type="dxa" w:w="3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FF3CD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8K-Monitore, noch selten verbaut</w:t>
            </w:r>
          </w:p>
        </w:tc>
      </w:tr>
      <w:tr>
        <w:tc>
          <w:tcPr>
            <w:tcW w:type="dxa" w:w="16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HDMI 2.1</w:t>
            </w:r>
          </w:p>
        </w:tc>
        <w:tc>
          <w:tcPr>
            <w:tcW w:type="dxa" w:w="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extern</w:t>
            </w:r>
          </w:p>
        </w:tc>
        <w:tc>
          <w:tcPr>
            <w:tcW w:type="dxa" w:w="19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48 Gbit/s</w:t>
            </w:r>
          </w:p>
        </w:tc>
        <w:tc>
          <w:tcPr>
            <w:tcW w:type="dxa" w:w="1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HDMI 2.1</w:t>
            </w:r>
          </w:p>
        </w:tc>
        <w:tc>
          <w:tcPr>
            <w:tcW w:type="dxa" w:w="3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Monitore, TVs, Beamer (4K@120Hz, 8K@60Hz)</w:t>
            </w:r>
          </w:p>
        </w:tc>
      </w:tr>
    </w:tbl>
    <w:p>
      <w:pPr>
        <w:spacing w:before="300"/>
      </w:pPr>
    </w:p>
    <w:p>
      <w:pPr>
        <w:pStyle w:val="Heading3"/>
        <w:spacing w:before="300" w:after="150"/>
      </w:pPr>
      <w:r>
        <w:rPr>
          <w:rFonts w:ascii="Arial" w:cs="Arial" w:eastAsia="Arial" w:hAnsi="Arial"/>
        </w:rPr>
        <w:t xml:space="preserve">Bauformen / Formfaktoren: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Kriterium</w:t>
            </w:r>
          </w:p>
        </w:tc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Tower (ATX)</w:t>
            </w:r>
          </w:p>
        </w:tc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SFF (mATX)</w:t>
            </w:r>
          </w:p>
        </w:tc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Mini-PC (ITX)</w:t>
            </w:r>
          </w:p>
        </w:tc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Thin Client</w:t>
            </w:r>
          </w:p>
        </w:tc>
      </w:tr>
      <w:tr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Erweiterbarkeit</w:t>
            </w:r>
          </w:p>
        </w:tc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Hoch</w:t>
            </w:r>
          </w:p>
        </w:tc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Mittel</w:t>
            </w:r>
          </w:p>
        </w:tc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Gering</w:t>
            </w:r>
          </w:p>
        </w:tc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Keine/minimal</w:t>
            </w:r>
          </w:p>
        </w:tc>
      </w:tr>
      <w:tr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GPU möglich?</w:t>
            </w:r>
          </w:p>
        </w:tc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Ja (volle Länge)</w:t>
            </w:r>
          </w:p>
        </w:tc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Ja (eingeschr.)</w:t>
            </w:r>
          </w:p>
        </w:tc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Selten</w:t>
            </w:r>
          </w:p>
        </w:tc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Nein</w:t>
            </w:r>
          </w:p>
        </w:tc>
      </w:tr>
      <w:tr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Energieverbrauch</w:t>
            </w:r>
          </w:p>
        </w:tc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Hoch</w:t>
            </w:r>
          </w:p>
        </w:tc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Mittel</w:t>
            </w:r>
          </w:p>
        </w:tc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Gering</w:t>
            </w:r>
          </w:p>
        </w:tc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Sehr gering</w:t>
            </w:r>
          </w:p>
        </w:tc>
      </w:tr>
      <w:tr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Typischer Einsatz</w:t>
            </w:r>
          </w:p>
        </w:tc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Entwickler, CAD, Workstation</w:t>
            </w:r>
          </w:p>
        </w:tc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Büro, allgemein</w:t>
            </w:r>
          </w:p>
        </w:tc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HTPC, Digital Signage</w:t>
            </w:r>
          </w:p>
        </w:tc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Empfang, Kasse, VDI</w:t>
            </w:r>
          </w:p>
        </w:tc>
      </w:tr>
    </w:tbl>
    <w:p>
      <w:pPr>
        <w:spacing w:before="100" w:after="1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Merke: mATX passt in ATX-Gehäuse (kleiner → größer = kompatibel). Umgekehrt geht nicht! DDR-Generationen sind NICHT abwärtskompatibel (DDR5 ≠ DDR4-Slot).</w:t>
      </w:r>
    </w:p>
    <w:p>
      <w:pPr>
        <w:spacing w:before="300"/>
      </w:pPr>
    </w:p>
    <w:p>
      <w:pPr>
        <w:pStyle w:val="Heading3"/>
        <w:spacing w:before="300" w:after="150"/>
      </w:pPr>
      <w:r>
        <w:rPr>
          <w:rFonts w:ascii="Arial" w:cs="Arial" w:eastAsia="Arial" w:hAnsi="Arial"/>
        </w:rPr>
        <w:t xml:space="preserve">Speichertechnologien im Vergleich:</w:t>
      </w:r>
    </w:p>
    <w:p>
      <w:pPr>
        <w:pBdr>
          <w:left w:val="single" w:color="D4A017" w:sz="12" w:space="8"/>
        </w:pBdr>
        <w:spacing w:before="150" w:after="150"/>
        <w:ind w:left="200"/>
      </w:pPr>
      <w:r>
        <w:rPr>
          <w:rFonts w:ascii="Arial" w:cs="Arial" w:eastAsia="Arial" w:hAnsi="Arial"/>
          <w:b/>
          <w:bCs/>
          <w:color w:val="D4A017"/>
          <w:sz w:val="22"/>
          <w:szCs w:val="22"/>
        </w:rPr>
        <w:t xml:space="preserve">★ Aktualisiert: </w:t>
      </w:r>
      <w:r>
        <w:rPr>
          <w:rFonts w:ascii="Arial" w:cs="Arial" w:eastAsia="Arial" w:hAnsi="Arial"/>
          <w:color w:val="555555"/>
          <w:sz w:val="22"/>
          <w:szCs w:val="22"/>
        </w:rPr>
        <w:t xml:space="preserve">Tabelle um NVMe Gen3 als eigene Spalte erweitert; Gen4/Gen5 zusammengefasst mit aktuellen Geschwindigkeiten.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HDD</w:t>
            </w:r>
          </w:p>
        </w:tc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SATA-SSD</w:t>
            </w:r>
          </w:p>
        </w:tc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NVMe Gen3</w:t>
            </w:r>
          </w:p>
        </w:tc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NVMe Gen4/5</w:t>
            </w:r>
          </w:p>
        </w:tc>
      </w:tr>
      <w:tr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Geschwindigkeit</w:t>
            </w:r>
          </w:p>
        </w:tc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~150 MB/s</w:t>
            </w:r>
          </w:p>
        </w:tc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~550 MB/s</w:t>
            </w:r>
          </w:p>
        </w:tc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~3.500 MB/s</w:t>
            </w:r>
          </w:p>
        </w:tc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7.000–14.000 MB/s</w:t>
            </w:r>
          </w:p>
        </w:tc>
      </w:tr>
      <w:tr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Preis/TB</w:t>
            </w:r>
          </w:p>
        </w:tc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Günstig</w:t>
            </w:r>
          </w:p>
        </w:tc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Mittel</w:t>
            </w:r>
          </w:p>
        </w:tc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Mittel–Hoch</w:t>
            </w:r>
          </w:p>
        </w:tc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Hoch–Sehr hoch</w:t>
            </w:r>
          </w:p>
        </w:tc>
      </w:tr>
      <w:tr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Mechanisch?</w:t>
            </w:r>
          </w:p>
        </w:tc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Ja (empfindlich)</w:t>
            </w:r>
          </w:p>
        </w:tc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Nein</w:t>
            </w:r>
          </w:p>
        </w:tc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Nein</w:t>
            </w:r>
          </w:p>
        </w:tc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Nein</w:t>
            </w:r>
          </w:p>
        </w:tc>
      </w:tr>
      <w:tr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Formfaktor</w:t>
            </w:r>
          </w:p>
        </w:tc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2,5″ / 3,5″</w:t>
            </w:r>
          </w:p>
        </w:tc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2,5″ / M.2</w:t>
            </w:r>
          </w:p>
        </w:tc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M.2</w:t>
            </w:r>
          </w:p>
        </w:tc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M.2</w:t>
            </w:r>
          </w:p>
        </w:tc>
      </w:tr>
      <w:tr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Einsatz</w:t>
            </w:r>
          </w:p>
        </w:tc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Archiv, Backup, NAS</w:t>
            </w:r>
          </w:p>
        </w:tc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Büro-PCs, Upgrade</w:t>
            </w:r>
          </w:p>
        </w:tc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System-SSD, Workstation</w:t>
            </w:r>
          </w:p>
        </w:tc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High-End, Content Creation</w:t>
            </w:r>
          </w:p>
        </w:tc>
      </w:tr>
    </w:tbl>
    <w:p>
      <w:r>
        <w:br w:type="page"/>
      </w:r>
    </w:p>
    <w:p>
      <w:pPr>
        <w:pStyle w:val="Heading1"/>
        <w:spacing w:before="300" w:after="150"/>
      </w:pPr>
      <w:r>
        <w:rPr>
          <w:rFonts w:ascii="Arial" w:cs="Arial" w:eastAsia="Arial" w:hAnsi="Arial"/>
        </w:rPr>
        <w:t xml:space="preserve">4 – Umwelt- und Prüfzeichen, Green-IT</w:t>
      </w:r>
    </w:p>
    <w:p>
      <w:pPr>
        <w:pStyle w:val="Heading3"/>
        <w:spacing w:before="300" w:after="150"/>
      </w:pPr>
      <w:r>
        <w:rPr>
          <w:rFonts w:ascii="Arial" w:cs="Arial" w:eastAsia="Arial" w:hAnsi="Arial"/>
        </w:rPr>
        <w:t xml:space="preserve">Die 6 wichtigsten Zeichen: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5360"/>
      </w:tblGrid>
      <w:tr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Zeichen</w:t>
            </w:r>
          </w:p>
        </w:tc>
        <w:tc>
          <w:tcPr>
            <w:tcW w:type="dxa" w:w="2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Kategorie</w:t>
            </w:r>
          </w:p>
        </w:tc>
        <w:tc>
          <w:tcPr>
            <w:tcW w:type="dxa" w:w="53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Das Wichtigste</w:t>
            </w:r>
          </w:p>
        </w:tc>
      </w:tr>
      <w:tr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CE</w:t>
            </w:r>
          </w:p>
        </w:tc>
        <w:tc>
          <w:tcPr>
            <w:tcW w:type="dxa" w:w="2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EU-Konformität</w:t>
            </w:r>
          </w:p>
        </w:tc>
        <w:tc>
          <w:tcPr>
            <w:tcW w:type="dxa" w:w="53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Selbsterklärung des Herstellers – KEIN Qualitätssiegel! Pflicht für EU-Verkauf.</w:t>
            </w:r>
          </w:p>
        </w:tc>
      </w:tr>
      <w:tr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GS</w:t>
            </w:r>
          </w:p>
        </w:tc>
        <w:tc>
          <w:tcPr>
            <w:tcW w:type="dxa" w:w="2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Sicherheit</w:t>
            </w:r>
          </w:p>
        </w:tc>
        <w:tc>
          <w:tcPr>
            <w:tcW w:type="dxa" w:w="53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Geprüfte Sicherheit – freiwillig, von unabhängiger Stelle (z.B. TÜV) geprüft</w:t>
            </w:r>
          </w:p>
        </w:tc>
      </w:tr>
      <w:tr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Blauer Engel</w:t>
            </w:r>
          </w:p>
        </w:tc>
        <w:tc>
          <w:tcPr>
            <w:tcW w:type="dxa" w:w="2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Umwelt</w:t>
            </w:r>
          </w:p>
        </w:tc>
        <w:tc>
          <w:tcPr>
            <w:tcW w:type="dxa" w:w="53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Deutsches Umweltzeichen: Schadstoffarmut + Recyclingfähigkeit + Energieverbrauch</w:t>
            </w:r>
          </w:p>
        </w:tc>
      </w:tr>
      <w:tr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Energy Star</w:t>
            </w:r>
          </w:p>
        </w:tc>
        <w:tc>
          <w:tcPr>
            <w:tcW w:type="dxa" w:w="2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Umwelt/Energie</w:t>
            </w:r>
          </w:p>
        </w:tc>
        <w:tc>
          <w:tcPr>
            <w:tcW w:type="dxa" w:w="53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International: Energieeffizienz im Betrieb und Standby</w:t>
            </w:r>
          </w:p>
        </w:tc>
      </w:tr>
      <w:tr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TCO Certified</w:t>
            </w:r>
          </w:p>
        </w:tc>
        <w:tc>
          <w:tcPr>
            <w:tcW w:type="dxa" w:w="2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Qualität/Umwelt</w:t>
            </w:r>
          </w:p>
        </w:tc>
        <w:tc>
          <w:tcPr>
            <w:tcW w:type="dxa" w:w="53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Schwedisch: Ergonomie + Emissionen + Nachhaltigkeit + soziale Verantwortung</w:t>
            </w:r>
          </w:p>
        </w:tc>
      </w:tr>
      <w:tr>
        <w:tc>
          <w:tcPr>
            <w:tcW w:type="dxa" w:w="1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EPEAT</w:t>
            </w:r>
          </w:p>
        </w:tc>
        <w:tc>
          <w:tcPr>
            <w:tcW w:type="dxa" w:w="2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Umwelt</w:t>
            </w:r>
          </w:p>
        </w:tc>
        <w:tc>
          <w:tcPr>
            <w:tcW w:type="dxa" w:w="53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International: Gesamter Lebenszyklus (Herstellung → Nutzung → Recycling)</w:t>
            </w:r>
          </w:p>
        </w:tc>
      </w:tr>
    </w:tbl>
    <w:p>
      <w:pPr>
        <w:spacing w:before="100" w:after="10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Eselsbrücke: CE = „China Export“ (Witz, aber merkt man sich!) – ist KEINE unabhängige Prüfung. GS = echte Prüfung.</w:t>
      </w:r>
    </w:p>
    <w:p>
      <w:pPr>
        <w:spacing w:before="200"/>
      </w:pPr>
    </w:p>
    <w:p>
      <w:pPr>
        <w:pStyle w:val="Heading3"/>
        <w:spacing w:before="300" w:after="150"/>
      </w:pPr>
      <w:r>
        <w:rPr>
          <w:rFonts w:ascii="Arial" w:cs="Arial" w:eastAsia="Arial" w:hAnsi="Arial"/>
        </w:rPr>
        <w:t xml:space="preserve">Green-IT-Strategien:</w:t>
      </w:r>
    </w:p>
    <w:p>
      <w:pPr>
        <w:spacing w:before="100" w:after="1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Beschaffung: </w:t>
      </w:r>
      <w:r>
        <w:rPr>
          <w:rFonts w:ascii="Arial" w:cs="Arial" w:eastAsia="Arial" w:hAnsi="Arial"/>
          <w:sz w:val="22"/>
          <w:szCs w:val="22"/>
        </w:rPr>
        <w:t xml:space="preserve">Geräte mit Umweltzeichen wählen; 80 PLUS Netzteile; passende Dimensionierung (kein Overkill)</w:t>
      </w:r>
    </w:p>
    <w:p>
      <w:pPr>
        <w:spacing w:before="100" w:after="1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Betrieb: </w:t>
      </w:r>
      <w:r>
        <w:rPr>
          <w:rFonts w:ascii="Arial" w:cs="Arial" w:eastAsia="Arial" w:hAnsi="Arial"/>
          <w:sz w:val="22"/>
          <w:szCs w:val="22"/>
        </w:rPr>
        <w:t xml:space="preserve">Energiesparmodi nutzen; Thin Clients statt Fat Clients; Virtualisierung; Druckmanagement; Standby-Killer</w:t>
      </w:r>
    </w:p>
    <w:p>
      <w:pPr>
        <w:spacing w:before="100" w:after="1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Entsorgung: </w:t>
      </w:r>
      <w:r>
        <w:rPr>
          <w:rFonts w:ascii="Arial" w:cs="Arial" w:eastAsia="Arial" w:hAnsi="Arial"/>
          <w:sz w:val="22"/>
          <w:szCs w:val="22"/>
        </w:rPr>
        <w:t xml:space="preserve">ElektroG beachten; fachgerechte Entsorgung; Refurbishing/Wiederverwendung prüfen; Datenträger sicher löschen</w:t>
      </w:r>
    </w:p>
    <w:p>
      <w:pPr>
        <w:spacing w:before="200"/>
      </w:pPr>
    </w:p>
    <w:p>
      <w:pPr>
        <w:pStyle w:val="Heading3"/>
        <w:spacing w:before="300" w:after="150"/>
      </w:pPr>
      <w:r>
        <w:rPr>
          <w:rFonts w:ascii="Arial" w:cs="Arial" w:eastAsia="Arial" w:hAnsi="Arial"/>
        </w:rPr>
        <w:t xml:space="preserve">ElektroG – wichtig für die Prüfung:</w:t>
      </w:r>
    </w:p>
    <w:p>
      <w:pPr>
        <w:spacing w:before="100" w:after="100"/>
      </w:pPr>
      <w:r>
        <w:rPr>
          <w:rFonts w:ascii="Arial" w:cs="Arial" w:eastAsia="Arial" w:hAnsi="Arial"/>
          <w:sz w:val="22"/>
          <w:szCs w:val="22"/>
        </w:rPr>
        <w:t xml:space="preserve">Regelt Entsorgung/Recycling von Elektro-Altgeräten (EU-WEEE-Richtlinie). NICHT in den Hausmüll! Rückgabe über kommunale Sammelstellen oder Händler-Rücknahme. Gewerbliche Nutzer: Eigenverantwortung für fachgerechte Entsorgung + Dokumentation.</w:t>
      </w:r>
    </w:p>
    <w:p>
      <w:r>
        <w:br w:type="page"/>
      </w:r>
    </w:p>
    <w:p>
      <w:pPr>
        <w:pStyle w:val="Heading1"/>
        <w:spacing w:before="300" w:after="150"/>
      </w:pPr>
      <w:r>
        <w:rPr>
          <w:rFonts w:ascii="Arial" w:cs="Arial" w:eastAsia="Arial" w:hAnsi="Arial"/>
        </w:rPr>
        <w:t xml:space="preserve">5 – Leistungsmessung, Standards und Benchmarks</w:t>
      </w:r>
    </w:p>
    <w:p>
      <w:pPr>
        <w:pStyle w:val="Heading3"/>
        <w:spacing w:before="300" w:after="150"/>
      </w:pPr>
      <w:r>
        <w:rPr>
          <w:rFonts w:ascii="Arial" w:cs="Arial" w:eastAsia="Arial" w:hAnsi="Arial"/>
        </w:rPr>
        <w:t xml:space="preserve">Synthetisch vs. Anwendung:</w:t>
      </w:r>
    </w:p>
    <w:p>
      <w:pPr>
        <w:spacing w:before="100" w:after="100"/>
      </w:pPr>
      <w:r>
        <w:rPr>
          <w:rFonts w:ascii="Arial" w:cs="Arial" w:eastAsia="Arial" w:hAnsi="Arial"/>
          <w:sz w:val="22"/>
          <w:szCs w:val="22"/>
        </w:rPr>
        <w:t xml:space="preserve">Synthetische Benchmarks: Künstliche, standardisierte Belastung – isolierter Vergleich, reproduzierbar (z.B. Cinebench, 3DMark, CrystalDiskMark).</w:t>
      </w:r>
    </w:p>
    <w:p>
      <w:pPr>
        <w:spacing w:before="100" w:after="100"/>
      </w:pPr>
      <w:r>
        <w:rPr>
          <w:rFonts w:ascii="Arial" w:cs="Arial" w:eastAsia="Arial" w:hAnsi="Arial"/>
          <w:sz w:val="22"/>
          <w:szCs w:val="22"/>
        </w:rPr>
        <w:t xml:space="preserve">Anwendungsbenchmarks: Reale Software/Aufgaben – praxisnäher, realistischer (z.B. PCMark, SPECviewperf, Kompilierzeit).</w:t>
      </w:r>
    </w:p>
    <w:p>
      <w:pPr>
        <w:spacing w:before="200"/>
      </w:pPr>
    </w:p>
    <w:p>
      <w:pPr>
        <w:pStyle w:val="Heading3"/>
        <w:spacing w:before="300" w:after="150"/>
      </w:pPr>
      <w:r>
        <w:rPr>
          <w:rFonts w:ascii="Arial" w:cs="Arial" w:eastAsia="Arial" w:hAnsi="Arial"/>
        </w:rPr>
        <w:t xml:space="preserve">Wichtige Benchmarks: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800"/>
        <w:gridCol w:w="4360"/>
      </w:tblGrid>
      <w:tr>
        <w:tc>
          <w:tcPr>
            <w:tcW w:type="dxa" w:w="2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Benchmark</w:t>
            </w:r>
          </w:p>
        </w:tc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Testet</w:t>
            </w:r>
          </w:p>
        </w:tc>
        <w:tc>
          <w:tcPr>
            <w:tcW w:type="dxa" w:w="43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Wann relevant?</w:t>
            </w:r>
          </w:p>
        </w:tc>
      </w:tr>
      <w:tr>
        <w:tc>
          <w:tcPr>
            <w:tcW w:type="dxa" w:w="2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Cinebench</w:t>
            </w:r>
          </w:p>
        </w:tc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CPU (Single + Multi)</w:t>
            </w:r>
          </w:p>
        </w:tc>
        <w:tc>
          <w:tcPr>
            <w:tcW w:type="dxa" w:w="43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Entwickler (Kompilieren), Rendering, allg. CPU-Vergleich</w:t>
            </w:r>
          </w:p>
        </w:tc>
      </w:tr>
      <w:tr>
        <w:tc>
          <w:tcPr>
            <w:tcW w:type="dxa" w:w="2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3DMark</w:t>
            </w:r>
          </w:p>
        </w:tc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GPU + Gaming</w:t>
            </w:r>
          </w:p>
        </w:tc>
        <w:tc>
          <w:tcPr>
            <w:tcW w:type="dxa" w:w="43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CAD, 3D-Rendering, Grafikleistung</w:t>
            </w:r>
          </w:p>
        </w:tc>
      </w:tr>
      <w:tr>
        <w:tc>
          <w:tcPr>
            <w:tcW w:type="dxa" w:w="2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CrystalDiskMark</w:t>
            </w:r>
          </w:p>
        </w:tc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Speicher (Lesen/Schreiben)</w:t>
            </w:r>
          </w:p>
        </w:tc>
        <w:tc>
          <w:tcPr>
            <w:tcW w:type="dxa" w:w="43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SSD/HDD-Vergleich, System-Performance</w:t>
            </w:r>
          </w:p>
        </w:tc>
      </w:tr>
      <w:tr>
        <w:tc>
          <w:tcPr>
            <w:tcW w:type="dxa" w:w="2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PCMark</w:t>
            </w:r>
          </w:p>
        </w:tc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Gesamtsystem (Office)</w:t>
            </w:r>
          </w:p>
        </w:tc>
        <w:tc>
          <w:tcPr>
            <w:tcW w:type="dxa" w:w="43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Büro-PCs, allgemeine Leistungsbewertung</w:t>
            </w:r>
          </w:p>
        </w:tc>
      </w:tr>
      <w:tr>
        <w:tc>
          <w:tcPr>
            <w:tcW w:type="dxa" w:w="22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iperf3</w:t>
            </w:r>
          </w:p>
        </w:tc>
        <w:tc>
          <w:tcPr>
            <w:tcW w:type="dxa" w:w="28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Netzwerkdurchsatz</w:t>
            </w:r>
          </w:p>
        </w:tc>
        <w:tc>
          <w:tcPr>
            <w:tcW w:type="dxa" w:w="43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LAN-Performance, Server-Anbindung</w:t>
            </w:r>
          </w:p>
        </w:tc>
      </w:tr>
    </w:tbl>
    <w:p>
      <w:pPr>
        <w:spacing w:before="200"/>
      </w:pPr>
    </w:p>
    <w:p>
      <w:pPr>
        <w:pStyle w:val="Heading3"/>
        <w:spacing w:before="300" w:after="150"/>
      </w:pPr>
      <w:r>
        <w:rPr>
          <w:rFonts w:ascii="Arial" w:cs="Arial" w:eastAsia="Arial" w:hAnsi="Arial"/>
        </w:rPr>
        <w:t xml:space="preserve">Wichtige Leistungskennwerte für Speicher:</w:t>
      </w:r>
    </w:p>
    <w:p>
      <w:pPr>
        <w:spacing w:before="100" w:after="1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Sequenzielle Lese-/Schreibrate (MB/s): </w:t>
      </w:r>
      <w:r>
        <w:rPr>
          <w:rFonts w:ascii="Arial" w:cs="Arial" w:eastAsia="Arial" w:hAnsi="Arial"/>
          <w:sz w:val="22"/>
          <w:szCs w:val="22"/>
        </w:rPr>
        <w:t xml:space="preserve">große zusammenhängende Dateien</w:t>
      </w:r>
    </w:p>
    <w:p>
      <w:pPr>
        <w:spacing w:before="100" w:after="1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IOPS (I/O Operations per Second): </w:t>
      </w:r>
      <w:r>
        <w:rPr>
          <w:rFonts w:ascii="Arial" w:cs="Arial" w:eastAsia="Arial" w:hAnsi="Arial"/>
          <w:sz w:val="22"/>
          <w:szCs w:val="22"/>
        </w:rPr>
        <w:t xml:space="preserve">kleine zufällige Zugriffe (Datenbanken, VMs, OS)</w:t>
      </w:r>
    </w:p>
    <w:p>
      <w:pPr>
        <w:spacing w:before="100" w:after="1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Latenz / Zugriffszeit: </w:t>
      </w:r>
      <w:r>
        <w:rPr>
          <w:rFonts w:ascii="Arial" w:cs="Arial" w:eastAsia="Arial" w:hAnsi="Arial"/>
          <w:sz w:val="22"/>
          <w:szCs w:val="22"/>
        </w:rPr>
        <w:t xml:space="preserve">Verzögerung beim ersten Zugriff (HDD &gt;&gt; SSD)</w:t>
      </w:r>
    </w:p>
    <w:p>
      <w:pPr>
        <w:spacing w:before="200"/>
      </w:pPr>
    </w:p>
    <w:p>
      <w:pPr>
        <w:pStyle w:val="Heading3"/>
        <w:spacing w:before="300" w:after="150"/>
      </w:pPr>
      <w:r>
        <w:rPr>
          <w:rFonts w:ascii="Arial" w:cs="Arial" w:eastAsia="Arial" w:hAnsi="Arial"/>
        </w:rPr>
        <w:t xml:space="preserve">Warum reicht EIN Benchmark nicht für eine Kaufempfehlung?</w:t>
      </w:r>
    </w:p>
    <w:p>
      <w:pPr>
        <w:spacing w:before="100" w:after="1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(1) Nur eine Komponente getestet: </w:t>
      </w:r>
      <w:r>
        <w:rPr>
          <w:rFonts w:ascii="Arial" w:cs="Arial" w:eastAsia="Arial" w:hAnsi="Arial"/>
          <w:sz w:val="22"/>
          <w:szCs w:val="22"/>
        </w:rPr>
        <w:t xml:space="preserve">Ein einzelner Benchmark misst z. B. nur die CPU (Cinebench) oder nur den Speicher (CrystalDiskMark) – sagt nichts über den Rest des Systems aus.</w:t>
      </w:r>
    </w:p>
    <w:p>
      <w:pPr>
        <w:spacing w:before="100" w:after="1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(2) Gesamtleistung = Zusammenspiel: </w:t>
      </w:r>
      <w:r>
        <w:rPr>
          <w:rFonts w:ascii="Arial" w:cs="Arial" w:eastAsia="Arial" w:hAnsi="Arial"/>
          <w:sz w:val="22"/>
          <w:szCs w:val="22"/>
        </w:rPr>
        <w:t xml:space="preserve">Die Performance ergibt sich aus dem Zusammenwirken aller Komponenten. Eine Top-CPU bringt wenig, wenn RAM oder SSD bremsen.</w:t>
      </w:r>
    </w:p>
    <w:p>
      <w:pPr>
        <w:spacing w:before="100" w:after="1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(3) Synthetisch ≠ reale Nutzung: </w:t>
      </w:r>
      <w:r>
        <w:rPr>
          <w:rFonts w:ascii="Arial" w:cs="Arial" w:eastAsia="Arial" w:hAnsi="Arial"/>
          <w:sz w:val="22"/>
          <w:szCs w:val="22"/>
        </w:rPr>
        <w:t xml:space="preserve">Ein PC kann im synthetischen Benchmark hervorragend abschneiden, im tatsächlichen Arbeitsalltag (Office, Datenbanken) aber enttäuschen – oder umgekehrt.</w:t>
      </w:r>
    </w:p>
    <w:p>
      <w:pPr>
        <w:spacing w:before="100" w:after="1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(4) Einsatzzweck bestimmt Anforderung: </w:t>
      </w:r>
      <w:r>
        <w:rPr>
          <w:rFonts w:ascii="Arial" w:cs="Arial" w:eastAsia="Arial" w:hAnsi="Arial"/>
          <w:sz w:val="22"/>
          <w:szCs w:val="22"/>
        </w:rPr>
        <w:t xml:space="preserve">Ein Grafikdesigner braucht andere Stärken als ein Sachbearbeiter. Der passende Benchmark hängt vom konkreten Anforderungsprofil des Kunden ab.</w:t>
      </w:r>
    </w:p>
    <w:p>
      <w:pPr>
        <w:spacing w:before="100" w:after="1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→ Darum immer mehrere Benchmarks unterschiedlicher Art (synthetisch + anwendungsbezogen) kombinieren und mit dem Anforderungsprofil des Kunden abgleichen.</w:t>
      </w:r>
    </w:p>
    <w:p>
      <w:pPr>
        <w:pBdr>
          <w:left w:val="single" w:color="2B579A" w:sz="12" w:space="8"/>
        </w:pBdr>
        <w:spacing w:before="150" w:after="150"/>
        <w:ind w:left="200"/>
      </w:pPr>
      <w:r>
        <w:rPr>
          <w:rFonts w:ascii="Arial" w:cs="Arial" w:eastAsia="Arial" w:hAnsi="Arial"/>
          <w:b/>
          <w:bCs/>
          <w:color w:val="2B579A"/>
          <w:sz w:val="22"/>
          <w:szCs w:val="22"/>
        </w:rPr>
        <w:t xml:space="preserve">Prüfungstipp: </w:t>
      </w:r>
      <w:r>
        <w:rPr>
          <w:rFonts w:ascii="Arial" w:cs="Arial" w:eastAsia="Arial" w:hAnsi="Arial"/>
          <w:i/>
          <w:iCs/>
          <w:color w:val="444444"/>
          <w:sz w:val="22"/>
          <w:szCs w:val="22"/>
        </w:rPr>
        <w:t xml:space="preserve">Typische IHK-Formulierung: „Warum reicht EIN Benchmark nicht für eine Kaufempfehlung?“ – Alle vier Punkte sauber benennen!</w:t>
      </w:r>
    </w:p>
    <w:p>
      <w:r>
        <w:br w:type="page"/>
      </w:r>
    </w:p>
    <w:p>
      <w:pPr>
        <w:pStyle w:val="Heading1"/>
        <w:spacing w:before="300" w:after="150"/>
      </w:pPr>
      <w:r>
        <w:rPr>
          <w:rFonts w:ascii="Arial" w:cs="Arial" w:eastAsia="Arial" w:hAnsi="Arial"/>
        </w:rPr>
        <w:t xml:space="preserve">6 – Elektrische Leistung, Effizienz und USV</w:t>
      </w:r>
    </w:p>
    <w:p>
      <w:pPr>
        <w:pStyle w:val="Heading3"/>
        <w:spacing w:before="300" w:after="150"/>
      </w:pPr>
      <w:r>
        <w:rPr>
          <w:rFonts w:ascii="Arial" w:cs="Arial" w:eastAsia="Arial" w:hAnsi="Arial"/>
        </w:rPr>
        <w:t xml:space="preserve">Formeln (URI / Leistung / Wirkungsgrad):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5360"/>
      </w:tblGrid>
      <w:tr>
        <w:tc>
          <w:tcPr>
            <w:tcW w:type="dxa" w:w="4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Formel</w:t>
            </w:r>
          </w:p>
        </w:tc>
        <w:tc>
          <w:tcPr>
            <w:tcW w:type="dxa" w:w="53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Bedeutung</w:t>
            </w:r>
          </w:p>
        </w:tc>
      </w:tr>
      <w:tr>
        <w:tc>
          <w:tcPr>
            <w:tcW w:type="dxa" w:w="4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P = U × I</w:t>
            </w:r>
          </w:p>
        </w:tc>
        <w:tc>
          <w:tcPr>
            <w:tcW w:type="dxa" w:w="53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Leistung (W) = Spannung (V) × Strom (A)</w:t>
            </w:r>
          </w:p>
        </w:tc>
      </w:tr>
      <w:tr>
        <w:tc>
          <w:tcPr>
            <w:tcW w:type="dxa" w:w="4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I = P / U</w:t>
            </w:r>
          </w:p>
        </w:tc>
        <w:tc>
          <w:tcPr>
            <w:tcW w:type="dxa" w:w="53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Strom berechnen, wenn Leistung und Spannung bekannt</w:t>
            </w:r>
          </w:p>
        </w:tc>
      </w:tr>
      <w:tr>
        <w:tc>
          <w:tcPr>
            <w:tcW w:type="dxa" w:w="4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U = P / I</w:t>
            </w:r>
          </w:p>
        </w:tc>
        <w:tc>
          <w:tcPr>
            <w:tcW w:type="dxa" w:w="53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Spannung berechnen</w:t>
            </w:r>
          </w:p>
        </w:tc>
      </w:tr>
      <w:tr>
        <w:tc>
          <w:tcPr>
            <w:tcW w:type="dxa" w:w="4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η = P_nutz / P_aufgenommen</w:t>
            </w:r>
          </w:p>
        </w:tc>
        <w:tc>
          <w:tcPr>
            <w:tcW w:type="dxa" w:w="53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Wirkungsgrad (als Dezimalzahl, z.B. 0,90 = 90%)</w:t>
            </w:r>
          </w:p>
        </w:tc>
      </w:tr>
      <w:tr>
        <w:tc>
          <w:tcPr>
            <w:tcW w:type="dxa" w:w="4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P_aufgenommen = P_nutz / η</w:t>
            </w:r>
          </w:p>
        </w:tc>
        <w:tc>
          <w:tcPr>
            <w:tcW w:type="dxa" w:w="53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Wie viel zieht das Gerät wirklich aus der Steckdose?</w:t>
            </w:r>
          </w:p>
        </w:tc>
      </w:tr>
      <w:tr>
        <w:tc>
          <w:tcPr>
            <w:tcW w:type="dxa" w:w="4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P_verlust = P_aufg. – P_nutz</w:t>
            </w:r>
          </w:p>
        </w:tc>
        <w:tc>
          <w:tcPr>
            <w:tcW w:type="dxa" w:w="536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Was als Wärme verloren geht</w:t>
            </w:r>
          </w:p>
        </w:tc>
      </w:tr>
    </w:tbl>
    <w:p>
      <w:pPr>
        <w:spacing w:before="200"/>
      </w:pPr>
    </w:p>
    <w:p>
      <w:pPr>
        <w:pStyle w:val="Heading3"/>
        <w:spacing w:before="300" w:after="150"/>
      </w:pPr>
      <w:r>
        <w:rPr>
          <w:rFonts w:ascii="Arial" w:cs="Arial" w:eastAsia="Arial" w:hAnsi="Arial"/>
        </w:rPr>
        <w:t xml:space="preserve">Beispielrechnung:</w:t>
      </w:r>
    </w:p>
    <w:p>
      <w:pPr>
        <w:spacing w:before="100" w:after="100"/>
      </w:pPr>
      <w:r>
        <w:rPr>
          <w:rFonts w:ascii="Arial" w:cs="Arial" w:eastAsia="Arial" w:hAnsi="Arial"/>
          <w:sz w:val="22"/>
          <w:szCs w:val="22"/>
        </w:rPr>
        <w:t xml:space="preserve">Netzteil liefert 325 W bei η = 90%:</w:t>
      </w:r>
    </w:p>
    <w:p>
      <w:pPr>
        <w:spacing w:before="100" w:after="100"/>
      </w:pPr>
      <w:r>
        <w:rPr>
          <w:rFonts w:ascii="Arial" w:cs="Arial" w:eastAsia="Arial" w:hAnsi="Arial"/>
          <w:sz w:val="22"/>
          <w:szCs w:val="22"/>
        </w:rPr>
        <w:t xml:space="preserve">P_auf = 325 / 0,90 = 361 W (aus der Steckdose)</w:t>
      </w:r>
    </w:p>
    <w:p>
      <w:pPr>
        <w:spacing w:before="100" w:after="100"/>
      </w:pPr>
      <w:r>
        <w:rPr>
          <w:rFonts w:ascii="Arial" w:cs="Arial" w:eastAsia="Arial" w:hAnsi="Arial"/>
          <w:sz w:val="22"/>
          <w:szCs w:val="22"/>
        </w:rPr>
        <w:t xml:space="preserve">P_verlust = 361 – 325 = 36 W (Abwärme)</w:t>
      </w:r>
    </w:p>
    <w:p>
      <w:pPr>
        <w:spacing w:before="100" w:after="100"/>
      </w:pPr>
      <w:r>
        <w:rPr>
          <w:rFonts w:ascii="Arial" w:cs="Arial" w:eastAsia="Arial" w:hAnsi="Arial"/>
          <w:sz w:val="22"/>
          <w:szCs w:val="22"/>
        </w:rPr>
        <w:t xml:space="preserve">I = 361 / 230 = 1,57 A</w:t>
      </w:r>
    </w:p>
    <w:p>
      <w:pPr>
        <w:spacing w:before="200"/>
      </w:pPr>
    </w:p>
    <w:p>
      <w:pPr>
        <w:pStyle w:val="Heading3"/>
        <w:spacing w:before="300" w:after="150"/>
      </w:pPr>
      <w:r>
        <w:rPr>
          <w:rFonts w:ascii="Arial" w:cs="Arial" w:eastAsia="Arial" w:hAnsi="Arial"/>
        </w:rPr>
        <w:t xml:space="preserve">80 PLUS Zertifizierungen: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2496"/>
        <w:gridCol w:w="2496"/>
        <w:gridCol w:w="2496"/>
      </w:tblGrid>
      <w:tr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Stufe</w:t>
            </w:r>
          </w:p>
        </w:tc>
        <w:tc>
          <w:tcPr>
            <w:tcW w:type="dxa" w:w="249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bei 20% Last</w:t>
            </w:r>
          </w:p>
        </w:tc>
        <w:tc>
          <w:tcPr>
            <w:tcW w:type="dxa" w:w="249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bei 50% Last</w:t>
            </w:r>
          </w:p>
        </w:tc>
        <w:tc>
          <w:tcPr>
            <w:tcW w:type="dxa" w:w="249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bei 100% Last</w:t>
            </w:r>
          </w:p>
        </w:tc>
      </w:tr>
      <w:tr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80 PLUS</w:t>
            </w:r>
          </w:p>
        </w:tc>
        <w:tc>
          <w:tcPr>
            <w:tcW w:type="dxa" w:w="249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80%</w:t>
            </w:r>
          </w:p>
        </w:tc>
        <w:tc>
          <w:tcPr>
            <w:tcW w:type="dxa" w:w="249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80%</w:t>
            </w:r>
          </w:p>
        </w:tc>
        <w:tc>
          <w:tcPr>
            <w:tcW w:type="dxa" w:w="249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80%</w:t>
            </w:r>
          </w:p>
        </w:tc>
      </w:tr>
      <w:tr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Bronze</w:t>
            </w:r>
          </w:p>
        </w:tc>
        <w:tc>
          <w:tcPr>
            <w:tcW w:type="dxa" w:w="249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82%</w:t>
            </w:r>
          </w:p>
        </w:tc>
        <w:tc>
          <w:tcPr>
            <w:tcW w:type="dxa" w:w="249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85%</w:t>
            </w:r>
          </w:p>
        </w:tc>
        <w:tc>
          <w:tcPr>
            <w:tcW w:type="dxa" w:w="249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82%</w:t>
            </w:r>
          </w:p>
        </w:tc>
      </w:tr>
      <w:tr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Silver</w:t>
            </w:r>
          </w:p>
        </w:tc>
        <w:tc>
          <w:tcPr>
            <w:tcW w:type="dxa" w:w="249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85%</w:t>
            </w:r>
          </w:p>
        </w:tc>
        <w:tc>
          <w:tcPr>
            <w:tcW w:type="dxa" w:w="249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88%</w:t>
            </w:r>
          </w:p>
        </w:tc>
        <w:tc>
          <w:tcPr>
            <w:tcW w:type="dxa" w:w="249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85%</w:t>
            </w:r>
          </w:p>
        </w:tc>
      </w:tr>
      <w:tr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Gold</w:t>
            </w:r>
          </w:p>
        </w:tc>
        <w:tc>
          <w:tcPr>
            <w:tcW w:type="dxa" w:w="249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87%</w:t>
            </w:r>
          </w:p>
        </w:tc>
        <w:tc>
          <w:tcPr>
            <w:tcW w:type="dxa" w:w="249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90%</w:t>
            </w:r>
          </w:p>
        </w:tc>
        <w:tc>
          <w:tcPr>
            <w:tcW w:type="dxa" w:w="249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87%</w:t>
            </w:r>
          </w:p>
        </w:tc>
      </w:tr>
      <w:tr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Platinum</w:t>
            </w:r>
          </w:p>
        </w:tc>
        <w:tc>
          <w:tcPr>
            <w:tcW w:type="dxa" w:w="249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90%</w:t>
            </w:r>
          </w:p>
        </w:tc>
        <w:tc>
          <w:tcPr>
            <w:tcW w:type="dxa" w:w="249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92%</w:t>
            </w:r>
          </w:p>
        </w:tc>
        <w:tc>
          <w:tcPr>
            <w:tcW w:type="dxa" w:w="249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89%</w:t>
            </w:r>
          </w:p>
        </w:tc>
      </w:tr>
      <w:tr>
        <w:tc>
          <w:tcPr>
            <w:tcW w:type="dxa" w:w="1872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Titanium</w:t>
            </w:r>
          </w:p>
        </w:tc>
        <w:tc>
          <w:tcPr>
            <w:tcW w:type="dxa" w:w="249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92%</w:t>
            </w:r>
          </w:p>
        </w:tc>
        <w:tc>
          <w:tcPr>
            <w:tcW w:type="dxa" w:w="249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94%</w:t>
            </w:r>
          </w:p>
        </w:tc>
        <w:tc>
          <w:tcPr>
            <w:tcW w:type="dxa" w:w="2496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90%</w:t>
            </w:r>
          </w:p>
        </w:tc>
      </w:tr>
    </w:tbl>
    <w:p>
      <w:pPr>
        <w:spacing w:before="100" w:after="1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Merke: Höchster Wirkungsgrad immer bei 50% Last! Darum Netzteil passend dimensionieren.</w:t>
      </w:r>
    </w:p>
    <w:p>
      <w:pPr>
        <w:spacing w:before="200"/>
      </w:pPr>
    </w:p>
    <w:p>
      <w:pPr>
        <w:pStyle w:val="Heading3"/>
        <w:spacing w:before="300" w:after="150"/>
      </w:pPr>
      <w:r>
        <w:rPr>
          <w:rFonts w:ascii="Arial" w:cs="Arial" w:eastAsia="Arial" w:hAnsi="Arial"/>
        </w:rPr>
        <w:t xml:space="preserve">USV-Typen: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453"/>
        <w:gridCol w:w="2453"/>
        <w:gridCol w:w="2454"/>
      </w:tblGrid>
      <w:tr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2453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VFD (Offline/Standby)</w:t>
            </w:r>
          </w:p>
        </w:tc>
        <w:tc>
          <w:tcPr>
            <w:tcW w:type="dxa" w:w="2453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VI (Line-Interactive)</w:t>
            </w:r>
          </w:p>
        </w:tc>
        <w:tc>
          <w:tcPr>
            <w:tcW w:type="dxa" w:w="245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2B579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VFI (Online/Doppelw.)</w:t>
            </w:r>
          </w:p>
        </w:tc>
      </w:tr>
      <w:tr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Funktionsweise</w:t>
            </w:r>
          </w:p>
        </w:tc>
        <w:tc>
          <w:tcPr>
            <w:tcW w:type="dxa" w:w="2453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Schaltet bei Ausfall auf Batterie um</w:t>
            </w:r>
          </w:p>
        </w:tc>
        <w:tc>
          <w:tcPr>
            <w:tcW w:type="dxa" w:w="2453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Regelt Schwankungen; schaltet bei Ausfall um</w:t>
            </w:r>
          </w:p>
        </w:tc>
        <w:tc>
          <w:tcPr>
            <w:tcW w:type="dxa" w:w="245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Versorgt DAUERHAFT über Wechselrichter</w:t>
            </w:r>
          </w:p>
        </w:tc>
      </w:tr>
      <w:tr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Umschaltzeit</w:t>
            </w:r>
          </w:p>
        </w:tc>
        <w:tc>
          <w:tcPr>
            <w:tcW w:type="dxa" w:w="2453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2–10 ms</w:t>
            </w:r>
          </w:p>
        </w:tc>
        <w:tc>
          <w:tcPr>
            <w:tcW w:type="dxa" w:w="2453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2–4 ms</w:t>
            </w:r>
          </w:p>
        </w:tc>
        <w:tc>
          <w:tcPr>
            <w:tcW w:type="dxa" w:w="245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0 ms</w:t>
            </w:r>
          </w:p>
        </w:tc>
      </w:tr>
      <w:tr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Schutz gegen</w:t>
            </w:r>
          </w:p>
        </w:tc>
        <w:tc>
          <w:tcPr>
            <w:tcW w:type="dxa" w:w="2453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Stromausfall</w:t>
            </w:r>
          </w:p>
        </w:tc>
        <w:tc>
          <w:tcPr>
            <w:tcW w:type="dxa" w:w="2453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Ausfall + Schwankungen</w:t>
            </w:r>
          </w:p>
        </w:tc>
        <w:tc>
          <w:tcPr>
            <w:tcW w:type="dxa" w:w="245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Alles (Ausfall, Schwankung, Spitzen)</w:t>
            </w:r>
          </w:p>
        </w:tc>
      </w:tr>
      <w:tr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Kosten</w:t>
            </w:r>
          </w:p>
        </w:tc>
        <w:tc>
          <w:tcPr>
            <w:tcW w:type="dxa" w:w="2453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Günstig</w:t>
            </w:r>
          </w:p>
        </w:tc>
        <w:tc>
          <w:tcPr>
            <w:tcW w:type="dxa" w:w="2453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Mittel</w:t>
            </w:r>
          </w:p>
        </w:tc>
        <w:tc>
          <w:tcPr>
            <w:tcW w:type="dxa" w:w="245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F2F6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Teuer</w:t>
            </w:r>
          </w:p>
        </w:tc>
      </w:tr>
      <w:tr>
        <w:tc>
          <w:tcPr>
            <w:tcW w:type="dxa" w:w="2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Einsatz</w:t>
            </w:r>
          </w:p>
        </w:tc>
        <w:tc>
          <w:tcPr>
            <w:tcW w:type="dxa" w:w="2453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Private PCs, einfache Büro-PCs</w:t>
            </w:r>
          </w:p>
        </w:tc>
        <w:tc>
          <w:tcPr>
            <w:tcW w:type="dxa" w:w="2453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Büro-PCs, Netzwerkgeräte</w:t>
            </w:r>
          </w:p>
        </w:tc>
        <w:tc>
          <w:tcPr>
            <w:tcW w:type="dxa" w:w="2454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20"/>
                <w:szCs w:val="20"/>
              </w:rPr>
              <w:t xml:space="preserve">Server, Rechenzentren, kritische Systeme</w:t>
            </w:r>
          </w:p>
        </w:tc>
      </w:tr>
    </w:tbl>
    <w:p>
      <w:pPr>
        <w:pBdr>
          <w:left w:val="single" w:color="2B579A" w:sz="12" w:space="8"/>
        </w:pBdr>
        <w:spacing w:before="150" w:after="150"/>
        <w:ind w:left="200"/>
      </w:pPr>
      <w:r>
        <w:rPr>
          <w:rFonts w:ascii="Arial" w:cs="Arial" w:eastAsia="Arial" w:hAnsi="Arial"/>
          <w:b/>
          <w:bCs/>
          <w:color w:val="2B579A"/>
          <w:sz w:val="22"/>
          <w:szCs w:val="22"/>
        </w:rPr>
        <w:t xml:space="preserve">Prüfungstipp: </w:t>
      </w:r>
      <w:r>
        <w:rPr>
          <w:rFonts w:ascii="Arial" w:cs="Arial" w:eastAsia="Arial" w:hAnsi="Arial"/>
          <w:i/>
          <w:iCs/>
          <w:color w:val="444444"/>
          <w:sz w:val="22"/>
          <w:szCs w:val="22"/>
        </w:rPr>
        <w:t xml:space="preserve">IHK fragt situativ: „Der Server muss 24/7 verfügbar sein. Welchen USV-Typ empfehlen Sie?“ → VFI, weil 0 ms Umschaltzeit und dauerhafter Schutz.</w:t>
      </w:r>
    </w:p>
    <w:sectPr>
      <w:head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i/>
        <w:iCs/>
        <w:color w:val="999999"/>
        <w:sz w:val="16"/>
        <w:szCs w:val="16"/>
      </w:rPr>
      <w:t xml:space="preserve">Lernzettel LF2 – Technischer Teil | Stand: Februar 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color w:val="2B579A"/>
      <w:sz w:val="36"/>
      <w:szCs w:val="36"/>
    </w:rPr>
  </w:style>
  <w:style w:type="paragraph" w:styleId="Heading2">
    <w:name w:val="Heading 2"/>
    <w:basedOn w:val="Normal"/>
    <w:next w:val="Normal"/>
    <w:qFormat/>
    <w:pPr>
      <w:spacing w:before="280" w:after="160"/>
      <w:outlineLvl w:val="1"/>
    </w:pPr>
    <w:rPr>
      <w:rFonts w:ascii="Arial" w:cs="Arial" w:eastAsia="Arial" w:hAnsi="Arial"/>
      <w:b/>
      <w:bCs/>
      <w:color w:val="2B579A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200" w:after="120"/>
      <w:outlineLvl w:val="2"/>
    </w:pPr>
    <w:rPr>
      <w:rFonts w:ascii="Arial" w:cs="Arial" w:eastAsia="Arial" w:hAnsi="Arial"/>
      <w:b/>
      <w:bCs/>
      <w:color w:val="444444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2026-02-24T14:17:49.636Z</dcterms:created>
  <dcterms:modified xsi:type="dcterms:W3CDTF">2026-02-24T14:17:49.638Z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