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1 – Lösungsheft (Musterlösung)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L (LF11) · Leitprojekt Nordfracht Logistik GmbH · nur zum Abgleich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Zuerst selbst versuchen!</w:t>
            </w:r>
          </w:p>
          <w:p>
            <w:pPr>
              <w:spacing w:after="40" w:line="270"/>
            </w:pPr>
            <w:r>
              <w:t xml:space="preserve">Dieses Heft zeigt eine mögliche Musterlösung mit Begründung. Schaut erst hinein, wenn ihr eine Aufgabe ernsthaft selbst versucht habt und die Fehlermeldung samt Fehler-Katalog nicht weiterhalf. Es gibt oft mehrere richtige Lösungen – Hauptsache, alle Tests werden grün.</w:t>
            </w:r>
          </w:p>
        </w:tc>
      </w:tr>
    </w:tbl>
    <w:p>
      <w:pPr>
        <w:pStyle w:val="Heading1"/>
      </w:pPr>
      <w:r>
        <w:t xml:space="preserve">Aufgabe 1 – Konstruktor der Klasse Sendung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public Sendung(string sendungsnummer, string empfaengerOrt,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       double gewichtKg, bool istExpress)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if (gewichtKg &lt;= 0 || gewichtKg &gt; MaxGewichtKg)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throw new ArgumentOutOfRangeException(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    nameof(gewichtKg),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    gewichtKg,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    "Das Gewicht muss groesser als 0 und hoechstens "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    + MaxGewichtKg + " kg sein.");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}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Sendungsnummer = sendungsnummer;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EmpfaengerOrt  = empfaengerOrt;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GewichtKg      = gewichtKg;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IstExpress     = istExpress;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}</w:t>
      </w:r>
    </w:p>
    <w:p>
      <w:pPr>
        <w:spacing w:after="120"/>
      </w:pPr>
    </w:p>
    <w:p>
      <w:pPr>
        <w:pStyle w:val="Heading3"/>
      </w:pPr>
      <w:r>
        <w:t xml:space="preserve">Warum so?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</w:t>
      </w:r>
      <w:r>
        <w:rPr>
          <w:b/>
          <w:bCs/>
        </w:rPr>
        <w:t xml:space="preserve">Wächterbedingung</w:t>
      </w:r>
      <w:r>
        <w:t xml:space="preserve"> steht ganz oben. Ist sie verletzt, bricht der Konstruktor sofort ab – das Objekt entsteht gar nicht erst in einem ungültigen Zustand.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onsolas" w:cs="Consolas" w:eastAsia="Consolas" w:hAnsi="Consolas"/>
          <w:sz w:val="19"/>
          <w:szCs w:val="19"/>
        </w:rPr>
        <w:t xml:space="preserve">nameof(gewichtKg)</w:t>
      </w:r>
      <w:r>
        <w:t xml:space="preserve"> liefert den Parameternamen als Text. Das ist robuster als die Zeichenkette </w:t>
      </w:r>
      <w:r>
        <w:rPr>
          <w:rFonts w:ascii="Consolas" w:cs="Consolas" w:eastAsia="Consolas" w:hAnsi="Consolas"/>
          <w:sz w:val="19"/>
          <w:szCs w:val="19"/>
        </w:rPr>
        <w:t xml:space="preserve">"gewichtKg"</w:t>
      </w:r>
      <w:r>
        <w:t xml:space="preserve">, weil es beim Umbenennen automatisch mitwandert.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Bedingung </w:t>
      </w:r>
      <w:r>
        <w:rPr>
          <w:rFonts w:ascii="Consolas" w:cs="Consolas" w:eastAsia="Consolas" w:hAnsi="Consolas"/>
          <w:sz w:val="19"/>
          <w:szCs w:val="19"/>
        </w:rPr>
        <w:t xml:space="preserve">&gt; MaxGewichtKg</w:t>
      </w:r>
      <w:r>
        <w:t xml:space="preserve"> lässt genau 31,5 kg zu und lehnt erst alles darüber ab.</w:t>
      </w:r>
    </w:p>
    <w:p>
      <w:pPr>
        <w:pStyle w:val="Heading1"/>
      </w:pPr>
      <w:r>
        <w:t xml:space="preserve">Aufgabe 3 – ToString überschreiben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public override string ToString()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return $"{Sendungsnummer} nach {EmpfaengerOrt} ({GewichtKg} kg)";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}</w:t>
      </w:r>
    </w:p>
    <w:p>
      <w:pPr>
        <w:spacing w:after="120"/>
      </w:pPr>
    </w:p>
    <w:p>
      <w:pPr>
        <w:pStyle w:val="Heading3"/>
      </w:pPr>
      <w:r>
        <w:t xml:space="preserve">Warum so?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onsolas" w:cs="Consolas" w:eastAsia="Consolas" w:hAnsi="Consolas"/>
          <w:sz w:val="19"/>
          <w:szCs w:val="19"/>
        </w:rPr>
        <w:t xml:space="preserve">override</w:t>
      </w:r>
      <w:r>
        <w:t xml:space="preserve"> überschreibt die von </w:t>
      </w:r>
      <w:r>
        <w:rPr>
          <w:rFonts w:ascii="Consolas" w:cs="Consolas" w:eastAsia="Consolas" w:hAnsi="Consolas"/>
          <w:sz w:val="19"/>
          <w:szCs w:val="19"/>
        </w:rPr>
        <w:t xml:space="preserve">object</w:t>
      </w:r>
      <w:r>
        <w:t xml:space="preserve"> geerbte Methode. Überall, wo eine Sendung als Text gebraucht wird, erscheint nun diese lesbare Darstellung.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</w:t>
      </w:r>
      <w:r>
        <w:rPr>
          <w:b/>
          <w:bCs/>
        </w:rPr>
        <w:t xml:space="preserve">Zeichenketten-Interpolation</w:t>
      </w:r>
      <w:r>
        <w:t xml:space="preserve"> mit </w:t>
      </w:r>
      <w:r>
        <w:rPr>
          <w:rFonts w:ascii="Consolas" w:cs="Consolas" w:eastAsia="Consolas" w:hAnsi="Consolas"/>
          <w:sz w:val="19"/>
          <w:szCs w:val="19"/>
        </w:rPr>
        <w:t xml:space="preserve">$"..."</w:t>
      </w:r>
      <w:r>
        <w:t xml:space="preserve"> ist kürzer und lesbarer als viele </w:t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t xml:space="preserve">-Verkettungen. Beide Schreibweisen sind korrekt.</w:t>
      </w:r>
    </w:p>
    <w:p>
      <w:r>
        <w:br w:type="page"/>
      </w:r>
    </w:p>
    <w:p>
      <w:pPr>
        <w:pStyle w:val="Heading1"/>
      </w:pPr>
      <w:r>
        <w:t xml:space="preserve">Aufgabe 2 – Methode BerechneKosten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public decimal BerechneKosten(Sendung sendung)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if (sendung == null)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throw new ArgumentNullException(nameof(sendung));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}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decimal angefangeneKilo = (decimal)Math.Ceiling(sendung.GewichtKg);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decimal kosten = Grundpreis + PreisProKilo * angefangeneKilo;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if (sendung.IstExpress)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{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    kosten = kosten * ExpressFaktor;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}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    return Math.Round(kosten, 2, MidpointRounding.AwayFromZero);</w:t>
      </w: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}</w:t>
      </w:r>
    </w:p>
    <w:p>
      <w:pPr>
        <w:spacing w:after="120"/>
      </w:pPr>
    </w:p>
    <w:p>
      <w:pPr>
        <w:pStyle w:val="Heading3"/>
      </w:pPr>
      <w:r>
        <w:t xml:space="preserve">Warum so?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Zuerst der </w:t>
      </w:r>
      <w:r>
        <w:rPr>
          <w:b/>
          <w:bCs/>
        </w:rPr>
        <w:t xml:space="preserve">null-Wächter</w:t>
      </w:r>
      <w:r>
        <w:t xml:space="preserve">: ohne ihn würde der Zugriff auf </w:t>
      </w:r>
      <w:r>
        <w:rPr>
          <w:rFonts w:ascii="Consolas" w:cs="Consolas" w:eastAsia="Consolas" w:hAnsi="Consolas"/>
          <w:sz w:val="19"/>
          <w:szCs w:val="19"/>
        </w:rPr>
        <w:t xml:space="preserve">sendung.GewichtKg</w:t>
      </w:r>
      <w:r>
        <w:t xml:space="preserve"> mit einer NullReferenceException abstürzen. Mit Wächter kommt eine klare, erwartete Ausnahme.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onsolas" w:cs="Consolas" w:eastAsia="Consolas" w:hAnsi="Consolas"/>
          <w:sz w:val="19"/>
          <w:szCs w:val="19"/>
        </w:rPr>
        <w:t xml:space="preserve">Math.Ceiling</w:t>
      </w:r>
      <w:r>
        <w:t xml:space="preserve"> rundet auf das nächste volle Kilogramm auf („je angefangenem kg“). Da es einen </w:t>
      </w:r>
      <w:r>
        <w:rPr>
          <w:rFonts w:ascii="Consolas" w:cs="Consolas" w:eastAsia="Consolas" w:hAnsi="Consolas"/>
          <w:sz w:val="19"/>
          <w:szCs w:val="19"/>
        </w:rPr>
        <w:t xml:space="preserve">double</w:t>
      </w:r>
      <w:r>
        <w:t xml:space="preserve"> liefert, wird mit </w:t>
      </w:r>
      <w:r>
        <w:rPr>
          <w:rFonts w:ascii="Consolas" w:cs="Consolas" w:eastAsia="Consolas" w:hAnsi="Consolas"/>
          <w:sz w:val="19"/>
          <w:szCs w:val="19"/>
        </w:rPr>
        <w:t xml:space="preserve">(decimal)</w:t>
      </w:r>
      <w:r>
        <w:t xml:space="preserve"> gecastet, um durchgängig mit </w:t>
      </w:r>
      <w:r>
        <w:rPr>
          <w:rFonts w:ascii="Consolas" w:cs="Consolas" w:eastAsia="Consolas" w:hAnsi="Consolas"/>
          <w:sz w:val="19"/>
          <w:szCs w:val="19"/>
        </w:rPr>
        <w:t xml:space="preserve">decimal</w:t>
      </w:r>
      <w:r>
        <w:t xml:space="preserve"> zu rechnen.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Geld wird mit </w:t>
      </w:r>
      <w:r>
        <w:rPr>
          <w:rFonts w:ascii="Consolas" w:cs="Consolas" w:eastAsia="Consolas" w:hAnsi="Consolas"/>
          <w:sz w:val="19"/>
          <w:szCs w:val="19"/>
        </w:rPr>
        <w:t xml:space="preserve">decimal</w:t>
      </w:r>
      <w:r>
        <w:t xml:space="preserve"> gerechnet, nicht mit </w:t>
      </w:r>
      <w:r>
        <w:rPr>
          <w:rFonts w:ascii="Consolas" w:cs="Consolas" w:eastAsia="Consolas" w:hAnsi="Consolas"/>
          <w:sz w:val="19"/>
          <w:szCs w:val="19"/>
        </w:rPr>
        <w:t xml:space="preserve">double</w:t>
      </w:r>
      <w:r>
        <w:t xml:space="preserve">: </w:t>
      </w:r>
      <w:r>
        <w:rPr>
          <w:rFonts w:ascii="Consolas" w:cs="Consolas" w:eastAsia="Consolas" w:hAnsi="Consolas"/>
          <w:sz w:val="19"/>
          <w:szCs w:val="19"/>
        </w:rPr>
        <w:t xml:space="preserve">decimal</w:t>
      </w:r>
      <w:r>
        <w:t xml:space="preserve"> rechnet dezimal-genau, </w:t>
      </w:r>
      <w:r>
        <w:rPr>
          <w:rFonts w:ascii="Consolas" w:cs="Consolas" w:eastAsia="Consolas" w:hAnsi="Consolas"/>
          <w:sz w:val="19"/>
          <w:szCs w:val="19"/>
        </w:rPr>
        <w:t xml:space="preserve">double</w:t>
      </w:r>
      <w:r>
        <w:t xml:space="preserve"> erzeugt Rundungsfehler (z. B. 0,1 + 0,2).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Das abschließende </w:t>
      </w:r>
      <w:r>
        <w:rPr>
          <w:rFonts w:ascii="Consolas" w:cs="Consolas" w:eastAsia="Consolas" w:hAnsi="Consolas"/>
          <w:sz w:val="19"/>
          <w:szCs w:val="19"/>
        </w:rPr>
        <w:t xml:space="preserve">Math.Round(..., 2, ...)</w:t>
      </w:r>
      <w:r>
        <w:t xml:space="preserve"> stellt sicher, dass auch nach der Express-Multiplikation ein sauberer Centbetrag herauskommt.</w:t>
      </w:r>
    </w:p>
    <w:p>
      <w:pPr>
        <w:pStyle w:val="Heading3"/>
      </w:pPr>
      <w:r>
        <w:t xml:space="preserve">Rechenbeispiele zur Kontrolle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360"/>
        <w:gridCol w:w="2000"/>
      </w:tblGrid>
      <w:tr>
        <w:trPr>
          <w:tblHeader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Sendung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Rechnung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1,0 kg, Standard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4,90 + 0,80 · 1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5,70 €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2,3 kg, Standard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4,90 + 0,80 · 3 (aufgerundet)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7,30 €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1,0 kg, Express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5,70 · 1,5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8,55 €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10,0 kg, Express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(4,90 + 0,80 · 10) · 1,5 = 12,90 · 1,5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19,35 €</w:t>
            </w:r>
          </w:p>
        </w:tc>
      </w:tr>
    </w:tbl>
    <w:p>
      <w:pPr>
        <w:pStyle w:val="Heading1"/>
      </w:pPr>
      <w:r>
        <w:t xml:space="preserve">Designentscheidungen dieser Etappe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Nur-lesbare Eigenschaften:</w:t>
      </w:r>
      <w:r>
        <w:t xml:space="preserve"> Eine erfasste Sendung soll sich nicht nachträglich verändern lassen. Das macht den Code vorhersehbar und Fehler unwahrscheinlicher.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Interface statt fester Klasse:</w:t>
      </w:r>
      <w:r>
        <w:t xml:space="preserve"> Der Rest des Programms hängt nur vom Vertrag </w:t>
      </w:r>
      <w:r>
        <w:rPr>
          <w:rFonts w:ascii="Consolas" w:cs="Consolas" w:eastAsia="Consolas" w:hAnsi="Consolas"/>
          <w:sz w:val="19"/>
          <w:szCs w:val="19"/>
        </w:rPr>
        <w:t xml:space="preserve">IVersandkostenRechner</w:t>
      </w:r>
      <w:r>
        <w:t xml:space="preserve"> ab. Ein neuer Tarif lässt sich ergänzen, ohne Bestehendes zu ändern – das ist die Grundidee hinter wartbarem Code.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Wächterbedingungen vorne:</w:t>
      </w:r>
      <w:r>
        <w:t xml:space="preserve"> Ungültige Eingaben werden früh abgefangen. Das ist die Brücke zu Etappe 2 (Fehlerbehandlung &amp; Logging).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L (LF11)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1 – Lösungsheft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2026-06-09T05:16:37.456Z</dcterms:created>
  <dcterms:modified xsi:type="dcterms:W3CDTF">2026-06-09T05:16:37.456Z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