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0066AA" w:sz="6" w:space="6"/>
        </w:pBdr>
        <w:spacing w:after="0"/>
      </w:pPr>
      <w:r>
        <w:rPr>
          <w:b/>
          <w:bCs/>
          <w:color w:val="003366"/>
          <w:sz w:val="40"/>
          <w:szCs w:val="40"/>
        </w:rPr>
        <w:t xml:space="preserve">Modul L – Funktionalität in Anwendungen realisieren (LF11)</w:t>
      </w:r>
    </w:p>
    <w:p>
      <w:pPr>
        <w:spacing w:after="240" w:before="120"/>
      </w:pPr>
      <w:r>
        <w:rPr>
          <w:color w:val="555555"/>
          <w:sz w:val="24"/>
          <w:szCs w:val="24"/>
        </w:rPr>
        <w:t xml:space="preserve">Selbstlernkurs · Leitprojekt: Sendungsverwaltung der Nordfracht Logistik GmbH</w:t>
      </w:r>
    </w:p>
    <w:p>
      <w:pPr>
        <w:pStyle w:val="Heading1"/>
      </w:pPr>
      <w:r>
        <w:t xml:space="preserve">Worum geht es?</w:t>
      </w:r>
    </w:p>
    <w:p>
      <w:pPr>
        <w:spacing w:after="120" w:line="276"/>
      </w:pPr>
      <w:r>
        <w:t xml:space="preserve">In Lernfeld 11 (LF11) geht es nicht um neue Syntax, sondern darum, aus einzelnen Codebausteinen eine wartbare Anwendung zu bauen: saubere Klassen, robuste Fehlerbehandlung, externe Bibliotheken, Datenbankzugriff, automatisierte Tests und Versionsverwaltung.</w:t>
      </w:r>
    </w:p>
    <w:p>
      <w:pPr>
        <w:spacing w:after="120" w:line="276"/>
      </w:pPr>
      <w:r>
        <w:t xml:space="preserve">Dieser Kurs ist als Selbstlernkurs aufgebaut. Ihr arbeitet an einem durchgehenden Projekt – der Sendungsverwaltung der (fiktiven) Nordfracht Logistik GmbH in Lübeck – das über alle Etappen mitwächst.</w:t>
      </w:r>
    </w:p>
    <w:p>
      <w:pPr>
        <w:pStyle w:val="Heading1"/>
      </w:pPr>
      <w:r>
        <w:t xml:space="preserve">Wie dieser Kurs funktioniert: die Tests sind euer Prüfstein</w:t>
      </w:r>
    </w:p>
    <w:p>
      <w:pPr>
        <w:spacing w:after="120" w:line="276"/>
      </w:pPr>
      <w:r>
        <w:t xml:space="preserve">Zu jeder Etappe gehört ein fertiges Visual-Studio-Projekt mit einer </w:t>
      </w:r>
      <w:r>
        <w:rPr>
          <w:b/>
          <w:bCs/>
        </w:rPr>
        <w:t xml:space="preserve">vorgegebenen Test-Suite</w:t>
      </w:r>
      <w:r>
        <w:t xml:space="preserve">. Diese Tests prüfen automatisch, ob euer Code das tut, was er soll. Ihr braucht niemanden, der „richtig?“ sagt – das übernehmen die Tests: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b/>
          <w:bCs/>
        </w:rPr>
        <w:t xml:space="preserve">Rot: </w:t>
      </w:r>
      <w:r>
        <w:t xml:space="preserve">Solange eine Aufgabe nicht gelöst ist, schlägt der zugehörige Test fehl (rotes Kreuz).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b/>
          <w:bCs/>
        </w:rPr>
        <w:t xml:space="preserve">Grün: </w:t>
      </w:r>
      <w:r>
        <w:t xml:space="preserve">Sobald euer Code stimmt, wird der Test grün. Alle Tests grün = Etappe bestanden.</w:t>
      </w:r>
    </w:p>
    <w:p>
      <w:pPr>
        <w:spacing w:after="120" w:line="276"/>
      </w:pPr>
      <w:r>
        <w:t xml:space="preserve">Eure Aufgabe ist es, an den mit </w:t>
      </w:r>
      <w:r>
        <w:rPr>
          <w:rFonts w:ascii="Consolas" w:cs="Consolas" w:eastAsia="Consolas" w:hAnsi="Consolas"/>
          <w:sz w:val="19"/>
          <w:szCs w:val="19"/>
        </w:rPr>
        <w:t xml:space="preserve">// TODO</w:t>
      </w:r>
      <w:r>
        <w:t xml:space="preserve"> markierten Stellen Code einzufügen, bis aus Rot Grün wird. Die Dateien im Ordner </w:t>
      </w:r>
      <w:r>
        <w:rPr>
          <w:rFonts w:ascii="Consolas" w:cs="Consolas" w:eastAsia="Consolas" w:hAnsi="Consolas"/>
          <w:sz w:val="19"/>
          <w:szCs w:val="19"/>
        </w:rPr>
        <w:t xml:space="preserve">tests\</w:t>
      </w:r>
      <w:r>
        <w:t xml:space="preserve"> verändert ihr </w:t>
      </w:r>
      <w:r>
        <w:rPr>
          <w:b/>
          <w:bCs/>
        </w:rPr>
        <w:t xml:space="preserve">nicht</w:t>
      </w:r>
      <w:r>
        <w:t xml:space="preserve"> – sie sind die Messlatte.</w:t>
      </w:r>
    </w:p>
    <w:p>
      <w:pPr>
        <w:pStyle w:val="Heading1"/>
      </w:pPr>
      <w:r>
        <w:t xml:space="preserve">Die Etappen im Überblick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860"/>
        <w:gridCol w:w="3500"/>
        <w:gridCol w:w="2500"/>
      </w:tblGrid>
      <w:tr>
        <w:trPr>
          <w:tblHeader/>
        </w:trP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#</w:t>
            </w:r>
          </w:p>
        </w:tc>
        <w:tc>
          <w:tcPr>
            <w:tcW w:type="dxa" w:w="28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Thema</w:t>
            </w:r>
          </w:p>
        </w:tc>
        <w:tc>
          <w:tcPr>
            <w:tcW w:type="dxa" w:w="3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Was ihr baut</w:t>
            </w:r>
          </w:p>
        </w:tc>
        <w:tc>
          <w:tcPr>
            <w:tcW w:type="dxa" w:w="2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Fertig, wenn …</w:t>
            </w:r>
          </w:p>
        </w:tc>
      </w:tr>
      <w:t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1</w:t>
            </w:r>
          </w:p>
        </w:tc>
        <w:tc>
          <w:tcPr>
            <w:tcW w:type="dxa" w:w="28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Klassen, Eigenschaften, Methoden, Interfaces</w:t>
            </w:r>
          </w:p>
        </w:tc>
        <w:tc>
          <w:tcPr>
            <w:tcW w:type="dxa" w:w="3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Domänenklassen Sendung und StandardKostenRechner</w:t>
            </w:r>
          </w:p>
        </w:tc>
        <w:tc>
          <w:tcPr>
            <w:tcW w:type="dxa" w:w="2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alle 11 Tests grün</w:t>
            </w:r>
          </w:p>
        </w:tc>
      </w:tr>
      <w:t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2</w:t>
            </w:r>
          </w:p>
        </w:tc>
        <w:tc>
          <w:tcPr>
            <w:tcW w:type="dxa" w:w="28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Fehlerbehandlung &amp; Logging</w:t>
            </w:r>
          </w:p>
        </w:tc>
        <w:tc>
          <w:tcPr>
            <w:tcW w:type="dxa" w:w="3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robuste Validierung, eigene Exception-Klasse</w:t>
            </w:r>
          </w:p>
        </w:tc>
        <w:tc>
          <w:tcPr>
            <w:tcW w:type="dxa" w:w="2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Fehlerfälle sauber abgefangen, Tests grün</w:t>
            </w:r>
          </w:p>
        </w:tc>
      </w:tr>
      <w:t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3</w:t>
            </w:r>
          </w:p>
        </w:tc>
        <w:tc>
          <w:tcPr>
            <w:tcW w:type="dxa" w:w="28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Externe Bibliothek (NuGet) &amp; Persistenz</w:t>
            </w:r>
          </w:p>
        </w:tc>
        <w:tc>
          <w:tcPr>
            <w:tcW w:type="dxa" w:w="3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Sendungen als JSON speichern/laden (Newtonsoft.Json)</w:t>
            </w:r>
          </w:p>
        </w:tc>
        <w:tc>
          <w:tcPr>
            <w:tcW w:type="dxa" w:w="2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Speichern/Laden funktioniert, Tests grün</w:t>
            </w:r>
          </w:p>
        </w:tc>
      </w:tr>
      <w:t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4</w:t>
            </w:r>
          </w:p>
        </w:tc>
        <w:tc>
          <w:tcPr>
            <w:tcW w:type="dxa" w:w="28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Datenbankanbindung mit Entity Framework 6</w:t>
            </w:r>
          </w:p>
        </w:tc>
        <w:tc>
          <w:tcPr>
            <w:tcW w:type="dxa" w:w="3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CRUD gegen eine lokale LocalDB-Datenbank</w:t>
            </w:r>
          </w:p>
        </w:tc>
        <w:tc>
          <w:tcPr>
            <w:tcW w:type="dxa" w:w="2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Anlegen/Lesen/Ändern/Löschen läuft</w:t>
            </w:r>
          </w:p>
        </w:tc>
      </w:tr>
      <w:t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5</w:t>
            </w:r>
          </w:p>
        </w:tc>
        <w:tc>
          <w:tcPr>
            <w:tcW w:type="dxa" w:w="28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Eigene Unit-Tests schreiben</w:t>
            </w:r>
          </w:p>
        </w:tc>
        <w:tc>
          <w:tcPr>
            <w:tcW w:type="dxa" w:w="3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Testfälle selbst entwerfen statt nur erfüllen</w:t>
            </w:r>
          </w:p>
        </w:tc>
        <w:tc>
          <w:tcPr>
            <w:tcW w:type="dxa" w:w="2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sinnvolle eigene Tests, grün und aussagekräftig</w:t>
            </w:r>
          </w:p>
        </w:tc>
      </w:tr>
      <w:t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6</w:t>
            </w:r>
          </w:p>
        </w:tc>
        <w:tc>
          <w:tcPr>
            <w:tcW w:type="dxa" w:w="28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Refactoring &amp; Clean Code</w:t>
            </w:r>
          </w:p>
        </w:tc>
        <w:tc>
          <w:tcPr>
            <w:tcW w:type="dxa" w:w="3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Code lesbarer machen, ohne Tests zu brechen</w:t>
            </w:r>
          </w:p>
        </w:tc>
        <w:tc>
          <w:tcPr>
            <w:tcW w:type="dxa" w:w="2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Code-Smells weg, alle Tests bleiben grün</w:t>
            </w:r>
          </w:p>
        </w:tc>
      </w:tr>
      <w:t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7</w:t>
            </w:r>
          </w:p>
        </w:tc>
        <w:tc>
          <w:tcPr>
            <w:tcW w:type="dxa" w:w="28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Versionsverwaltung mit Git</w:t>
            </w:r>
          </w:p>
        </w:tc>
        <w:tc>
          <w:tcPr>
            <w:tcW w:type="dxa" w:w="3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den Projektverlauf in Git nachvollziehen</w:t>
            </w:r>
          </w:p>
        </w:tc>
        <w:tc>
          <w:tcPr>
            <w:tcW w:type="dxa" w:w="2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Branch/Commit/Merge sauber durchgeführt</w:t>
            </w:r>
          </w:p>
        </w:tc>
      </w:tr>
    </w:tbl>
    <w:p>
      <w:pPr>
        <w:spacing w:after="120" w:line="276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F0A500" w:sz="2"/>
              <w:left w:val="single" w:color="F0A500" w:sz="18"/>
              <w:bottom w:val="single" w:color="F0A500" w:sz="2"/>
              <w:right w:val="single" w:color="F0A500" w:sz="2"/>
            </w:tcBorders>
            <w:shd w:fill="FFF8E8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003366"/>
              </w:rPr>
              <w:t xml:space="preserve">Hinweis zur Reihenfolge</w:t>
            </w:r>
          </w:p>
          <w:p>
            <w:pPr>
              <w:spacing w:after="40" w:line="270"/>
            </w:pPr>
            <w:r>
              <w:t xml:space="preserve">Die Etappen bauen aufeinander auf. Arbeitet sie der Reihe nach ab – ab Etappe 3 nutzt ihr das Projekt aus Etappe 1/2 weiter.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Setup – einmalig</w:t>
      </w:r>
    </w:p>
    <w:p>
      <w:pPr>
        <w:pStyle w:val="ListParagraph"/>
        <w:numPr>
          <w:ilvl w:val="0"/>
          <w:numId w:val="3"/>
        </w:numPr>
        <w:spacing w:after="70" w:line="270"/>
      </w:pPr>
      <w:r>
        <w:rPr>
          <w:b/>
          <w:bCs/>
        </w:rPr>
        <w:t xml:space="preserve">Visual Studio 2022</w:t>
      </w:r>
      <w:r>
        <w:t xml:space="preserve"> (oder 2019) installieren, Workload „.NET-Desktopentwicklung“.</w:t>
      </w:r>
    </w:p>
    <w:p>
      <w:pPr>
        <w:pStyle w:val="ListParagraph"/>
        <w:numPr>
          <w:ilvl w:val="0"/>
          <w:numId w:val="3"/>
        </w:numPr>
        <w:spacing w:after="70" w:line="270"/>
      </w:pPr>
      <w:r>
        <w:t xml:space="preserve">Sicherstellen, dass das </w:t>
      </w:r>
      <w:r>
        <w:rPr>
          <w:b/>
          <w:bCs/>
        </w:rPr>
        <w:t xml:space="preserve">.NET Framework 4.8 Developer Pack</w:t>
      </w:r>
      <w:r>
        <w:t xml:space="preserve"> vorhanden ist (kommt mit der Workload mit).</w:t>
      </w:r>
    </w:p>
    <w:p>
      <w:pPr>
        <w:pStyle w:val="ListParagraph"/>
        <w:numPr>
          <w:ilvl w:val="0"/>
          <w:numId w:val="3"/>
        </w:numPr>
        <w:spacing w:after="70" w:line="270"/>
      </w:pPr>
      <w:r>
        <w:t xml:space="preserve">Projekt-ZIP entpacken und </w:t>
      </w:r>
      <w:r>
        <w:rPr>
          <w:rFonts w:ascii="Consolas" w:cs="Consolas" w:eastAsia="Consolas" w:hAnsi="Consolas"/>
          <w:sz w:val="19"/>
          <w:szCs w:val="19"/>
        </w:rPr>
        <w:t xml:space="preserve">Nordfracht.Sendungsverwaltung.sln</w:t>
      </w:r>
      <w:r>
        <w:t xml:space="preserve"> per Doppelklick öffnen.</w:t>
      </w:r>
    </w:p>
    <w:p>
      <w:pPr>
        <w:pStyle w:val="ListParagraph"/>
        <w:numPr>
          <w:ilvl w:val="0"/>
          <w:numId w:val="3"/>
        </w:numPr>
        <w:spacing w:after="70" w:line="270"/>
      </w:pPr>
      <w:r>
        <w:t xml:space="preserve">Beim ersten Öffnen lädt Visual Studio die NuGet-Pakete für die Tests automatisch. Falls nicht: Rechtsklick auf die Projektmappe → </w:t>
      </w:r>
      <w:r>
        <w:rPr>
          <w:b/>
          <w:bCs/>
        </w:rPr>
        <w:t xml:space="preserve">NuGet-Pakete wiederherstellen</w:t>
      </w:r>
      <w:r>
        <w:t xml:space="preserve">.</w:t>
      </w:r>
    </w:p>
    <w:p>
      <w:pPr>
        <w:pStyle w:val="Heading1"/>
      </w:pPr>
      <w:r>
        <w:t xml:space="preserve">Arbeitsweise pro Etappe</w:t>
      </w:r>
    </w:p>
    <w:p>
      <w:pPr>
        <w:pStyle w:val="ListParagraph"/>
        <w:numPr>
          <w:ilvl w:val="0"/>
          <w:numId w:val="4"/>
        </w:numPr>
        <w:spacing w:after="70" w:line="270"/>
      </w:pPr>
      <w:r>
        <w:t xml:space="preserve">Erklärkapitel der Etappe lesen.</w:t>
      </w:r>
    </w:p>
    <w:p>
      <w:pPr>
        <w:pStyle w:val="ListParagraph"/>
        <w:numPr>
          <w:ilvl w:val="0"/>
          <w:numId w:val="4"/>
        </w:numPr>
        <w:spacing w:after="70" w:line="270"/>
      </w:pPr>
      <w:r>
        <w:t xml:space="preserve">Projekt öffnen, Menü </w:t>
      </w:r>
      <w:r>
        <w:rPr>
          <w:b/>
          <w:bCs/>
        </w:rPr>
        <w:t xml:space="preserve">Test → Test-Explorer</w:t>
      </w:r>
      <w:r>
        <w:t xml:space="preserve">, auf </w:t>
      </w:r>
      <w:r>
        <w:rPr>
          <w:b/>
          <w:bCs/>
        </w:rPr>
        <w:t xml:space="preserve">Alle ausführen</w:t>
      </w:r>
      <w:r>
        <w:t xml:space="preserve"> klicken → alles ist rot. So soll es sein.</w:t>
      </w:r>
    </w:p>
    <w:p>
      <w:pPr>
        <w:pStyle w:val="ListParagraph"/>
        <w:numPr>
          <w:ilvl w:val="0"/>
          <w:numId w:val="4"/>
        </w:numPr>
        <w:spacing w:after="70" w:line="270"/>
      </w:pPr>
      <w:r>
        <w:t xml:space="preserve">Die </w:t>
      </w:r>
      <w:r>
        <w:rPr>
          <w:rFonts w:ascii="Consolas" w:cs="Consolas" w:eastAsia="Consolas" w:hAnsi="Consolas"/>
          <w:sz w:val="19"/>
          <w:szCs w:val="19"/>
        </w:rPr>
        <w:t xml:space="preserve">// TODO</w:t>
      </w:r>
      <w:r>
        <w:t xml:space="preserve">-Stellen im Ordner </w:t>
      </w:r>
      <w:r>
        <w:rPr>
          <w:rFonts w:ascii="Consolas" w:cs="Consolas" w:eastAsia="Consolas" w:hAnsi="Consolas"/>
          <w:sz w:val="19"/>
          <w:szCs w:val="19"/>
        </w:rPr>
        <w:t xml:space="preserve">src\</w:t>
      </w:r>
      <w:r>
        <w:t xml:space="preserve"> abarbeiten.</w:t>
      </w:r>
    </w:p>
    <w:p>
      <w:pPr>
        <w:pStyle w:val="ListParagraph"/>
        <w:numPr>
          <w:ilvl w:val="0"/>
          <w:numId w:val="4"/>
        </w:numPr>
        <w:spacing w:after="70" w:line="270"/>
      </w:pPr>
      <w:r>
        <w:t xml:space="preserve">Nach jeder Änderung Tests erneut ausführen – Stück für Stück werden sie grün.</w:t>
      </w:r>
    </w:p>
    <w:p>
      <w:pPr>
        <w:pStyle w:val="ListParagraph"/>
        <w:numPr>
          <w:ilvl w:val="0"/>
          <w:numId w:val="4"/>
        </w:numPr>
        <w:spacing w:after="70" w:line="270"/>
      </w:pPr>
      <w:r>
        <w:t xml:space="preserve">Alle grün? Etappe geschafft. Erst wenn ihr komplett festhängt, ins Lösungsheft schauen.</w:t>
      </w:r>
    </w:p>
    <w:p>
      <w:pPr>
        <w:pStyle w:val="Heading1"/>
      </w:pPr>
      <w:r>
        <w:t xml:space="preserve">Fehler-Katalog – die häufigsten Stolperstellen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900"/>
        <w:gridCol w:w="3860"/>
      </w:tblGrid>
      <w:tr>
        <w:trPr>
          <w:tblHeader/>
        </w:trPr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Symptom</w:t>
            </w:r>
          </w:p>
        </w:tc>
        <w:tc>
          <w:tcPr>
            <w:tcW w:type="dxa" w:w="2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Ursache</w:t>
            </w:r>
          </w:p>
        </w:tc>
        <w:tc>
          <w:tcPr>
            <w:tcW w:type="dxa" w:w="38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Lösung</w:t>
            </w:r>
          </w:p>
        </w:tc>
      </w:tr>
      <w:tr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Test-Explorer ist leer / zeigt keine Tests</w:t>
            </w:r>
          </w:p>
        </w:tc>
        <w:tc>
          <w:tcPr>
            <w:tcW w:type="dxa" w:w="2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NuGet-Pakete nicht wiederhergestellt oder noch nicht gebaut</w:t>
            </w:r>
          </w:p>
        </w:tc>
        <w:tc>
          <w:tcPr>
            <w:tcW w:type="dxa" w:w="38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Projektmappe neu erstellen (Strg+Umschalt+B). Dann Rechtsklick auf Projektmappe → NuGet-Pakete wiederherstellen.</w:t>
            </w:r>
          </w:p>
        </w:tc>
      </w:tr>
      <w:tr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Fehler „NuGet-Version nicht gefunden“ beim Wiederherstellen</w:t>
            </w:r>
          </w:p>
        </w:tc>
        <w:tc>
          <w:tcPr>
            <w:tcW w:type="dxa" w:w="2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Eine angegebene Paketversion ist auf dem System nicht verfügbar</w:t>
            </w:r>
          </w:p>
        </w:tc>
        <w:tc>
          <w:tcPr>
            <w:tcW w:type="dxa" w:w="38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NuGet-Manager öffnen, bei MSTest.TestAdapter / MSTest.TestFramework / Microsoft.NET.Test.Sdk jeweils die neueste stabile Version wählen, neu erstellen.</w:t>
            </w:r>
          </w:p>
        </w:tc>
      </w:tr>
      <w:tr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NotImplementedException in fast jedem Test</w:t>
            </w:r>
          </w:p>
        </w:tc>
        <w:tc>
          <w:tcPr>
            <w:tcW w:type="dxa" w:w="2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An den TODO-Stellen steht noch der Platzhalter throw new NotImplementedException()</w:t>
            </w:r>
          </w:p>
        </w:tc>
        <w:tc>
          <w:tcPr>
            <w:tcW w:type="dxa" w:w="38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Den throw durch eure Implementierung ersetzen – genau das ist die Aufgabe.</w:t>
            </w:r>
          </w:p>
        </w:tc>
      </w:tr>
      <w:tr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Tests bleiben rot, obwohl die Logik „eigentlich stimmt“</w:t>
            </w:r>
          </w:p>
        </w:tc>
        <w:tc>
          <w:tcPr>
            <w:tcW w:type="dxa" w:w="2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Vergleich von Kommazahlen oder falsche Rundung</w:t>
            </w:r>
          </w:p>
        </w:tc>
        <w:tc>
          <w:tcPr>
            <w:tcW w:type="dxa" w:w="38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Bei Geldbeträgen mit decimal rechnen und auf 2 Stellen runden (siehe Etappe 1).</w:t>
            </w:r>
          </w:p>
        </w:tc>
      </w:tr>
      <w:tr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CS0029 / „kann double nicht in decimal konvertieren“</w:t>
            </w:r>
          </w:p>
        </w:tc>
        <w:tc>
          <w:tcPr>
            <w:tcW w:type="dxa" w:w="2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Math.Ceiling liefert double, gerechnet wird mit decimal</w:t>
            </w:r>
          </w:p>
        </w:tc>
        <w:tc>
          <w:tcPr>
            <w:tcW w:type="dxa" w:w="38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Ergebnis explizit casten: (decimal)Math.Ceiling(...)</w:t>
            </w:r>
          </w:p>
        </w:tc>
      </w:tr>
      <w:tr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Projekt lädt nicht / „inkompatibel“</w:t>
            </w:r>
          </w:p>
        </w:tc>
        <w:tc>
          <w:tcPr>
            <w:tcW w:type="dxa" w:w="2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Zielframework .NET 4.8 nicht installiert</w:t>
            </w:r>
          </w:p>
        </w:tc>
        <w:tc>
          <w:tcPr>
            <w:tcW w:type="dxa" w:w="38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.NET Framework 4.8 Developer Pack nachinstallieren, Visual Studio neu starten.</w:t>
            </w:r>
          </w:p>
        </w:tc>
      </w:tr>
    </w:tbl>
    <w:p>
      <w:pPr>
        <w:pStyle w:val="Heading1"/>
      </w:pPr>
      <w:r>
        <w:t xml:space="preserve">Wenn ihr nicht weiterkommt</w:t>
      </w:r>
    </w:p>
    <w:p>
      <w:pPr>
        <w:spacing w:after="120" w:line="276"/>
      </w:pPr>
      <w:r>
        <w:t xml:space="preserve">Selbstlernen heißt nicht alleingelassen. Drei Stufen, in dieser Reihenfolge:</w:t>
      </w:r>
    </w:p>
    <w:p>
      <w:pPr>
        <w:pStyle w:val="ListParagraph"/>
        <w:numPr>
          <w:ilvl w:val="0"/>
          <w:numId w:val="5"/>
        </w:numPr>
        <w:spacing w:after="70" w:line="270"/>
      </w:pPr>
      <w:r>
        <w:rPr>
          <w:b/>
          <w:bCs/>
        </w:rPr>
        <w:t xml:space="preserve">Fehlermeldung lesen.</w:t>
      </w:r>
      <w:r>
        <w:t xml:space="preserve"> Visual Studio sagt meist genau, in welcher Zeile und warum es klemmt. Den Fehlercode (z. B. CS0029) notieren und im Fehler-Katalog nachschlagen.</w:t>
      </w:r>
    </w:p>
    <w:p>
      <w:pPr>
        <w:pStyle w:val="ListParagraph"/>
        <w:numPr>
          <w:ilvl w:val="0"/>
          <w:numId w:val="5"/>
        </w:numPr>
        <w:spacing w:after="70" w:line="270"/>
      </w:pPr>
      <w:r>
        <w:rPr>
          <w:b/>
          <w:bCs/>
        </w:rPr>
        <w:t xml:space="preserve">Erklärkapitel + Lösungsheft.</w:t>
      </w:r>
      <w:r>
        <w:t xml:space="preserve"> Das Lösungsheft zeigt eine Musterlösung mit Begründung – zum Abgleich, nicht zum Abschreiben.</w:t>
      </w:r>
    </w:p>
    <w:p>
      <w:pPr>
        <w:pStyle w:val="ListParagraph"/>
        <w:numPr>
          <w:ilvl w:val="0"/>
          <w:numId w:val="5"/>
        </w:numPr>
        <w:spacing w:after="70" w:line="270"/>
      </w:pPr>
      <w:r>
        <w:rPr>
          <w:b/>
          <w:bCs/>
        </w:rPr>
        <w:t xml:space="preserve">Sammeltermin.</w:t>
      </w:r>
      <w:r>
        <w:t xml:space="preserve"> Sammelt offene Fragen und bringt sie in den wöchentlichen Fragetermin (auch remote) mit. Genau dafür ist er da.</w:t>
      </w:r>
    </w:p>
    <w:p>
      <w:pPr>
        <w:pStyle w:val="Heading1"/>
      </w:pPr>
      <w:r>
        <w:t xml:space="preserve">Abkürzungsverzeichnis (modulweit)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160"/>
      </w:tblGrid>
      <w:tr>
        <w:trPr>
          <w:tblHeader/>
        </w:trP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Abkürzung</w:t>
            </w:r>
          </w:p>
        </w:tc>
        <w:tc>
          <w:tcPr>
            <w:tcW w:type="dxa" w:w="7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Bedeutung</w:t>
            </w:r>
          </w:p>
        </w:tc>
      </w:tr>
      <w:t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LF11</w:t>
            </w:r>
          </w:p>
        </w:tc>
        <w:tc>
          <w:tcPr>
            <w:tcW w:type="dxa" w:w="7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Lernfeld 11 – Funktionalität in Anwendungen realisieren</w:t>
            </w:r>
          </w:p>
        </w:tc>
      </w:tr>
      <w:t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IDE</w:t>
            </w:r>
          </w:p>
        </w:tc>
        <w:tc>
          <w:tcPr>
            <w:tcW w:type="dxa" w:w="7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Integrated Development Environment (integrierte Entwicklungsumgebung), hier Visual Studio</w:t>
            </w:r>
          </w:p>
        </w:tc>
      </w:tr>
      <w:t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OOP</w:t>
            </w:r>
          </w:p>
        </w:tc>
        <w:tc>
          <w:tcPr>
            <w:tcW w:type="dxa" w:w="7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Objektorientierte Programmierung</w:t>
            </w:r>
          </w:p>
        </w:tc>
      </w:tr>
      <w:t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NuGet</w:t>
            </w:r>
          </w:p>
        </w:tc>
        <w:tc>
          <w:tcPr>
            <w:tcW w:type="dxa" w:w="7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Paketverwaltung für .NET-Bibliotheken</w:t>
            </w:r>
          </w:p>
        </w:tc>
      </w:tr>
      <w:t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JSON</w:t>
            </w:r>
          </w:p>
        </w:tc>
        <w:tc>
          <w:tcPr>
            <w:tcW w:type="dxa" w:w="7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JavaScript Object Notation (textbasiertes Datenformat)</w:t>
            </w:r>
          </w:p>
        </w:tc>
      </w:tr>
      <w:t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EF6</w:t>
            </w:r>
          </w:p>
        </w:tc>
        <w:tc>
          <w:tcPr>
            <w:tcW w:type="dxa" w:w="7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Entity Framework 6 (objektrelationaler Mapper für Datenbankzugriff)</w:t>
            </w:r>
          </w:p>
        </w:tc>
      </w:tr>
      <w:t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LocalDB</w:t>
            </w:r>
          </w:p>
        </w:tc>
        <w:tc>
          <w:tcPr>
            <w:tcW w:type="dxa" w:w="7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lokale, datei­basierte Variante des Microsoft SQL Servers für die Entwicklung</w:t>
            </w:r>
          </w:p>
        </w:tc>
      </w:tr>
      <w:t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CRUD</w:t>
            </w:r>
          </w:p>
        </w:tc>
        <w:tc>
          <w:tcPr>
            <w:tcW w:type="dxa" w:w="7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Create, Read, Update, Delete (Anlegen, Lesen, Ändern, Löschen)</w:t>
            </w:r>
          </w:p>
        </w:tc>
      </w:tr>
      <w:t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Git</w:t>
            </w:r>
          </w:p>
        </w:tc>
        <w:tc>
          <w:tcPr>
            <w:tcW w:type="dxa" w:w="7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verteiltes Versionsverwaltungssystem</w:t>
            </w:r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66AA" w:sz="4" w:space="4"/>
      </w:pBdr>
      <w:tabs>
        <w:tab w:val="right" w:pos="9026"/>
      </w:tabs>
    </w:pPr>
    <w:r>
      <w:rPr>
        <w:color w:val="555555"/>
        <w:sz w:val="16"/>
        <w:szCs w:val="16"/>
      </w:rPr>
      <w:t xml:space="preserve">bfw Lübeck · Modul L (LF11) · Name: ____________ · Datum: __________</w:t>
    </w:r>
    <w:r>
      <w:rPr>
        <w:color w:val="555555"/>
        <w:sz w:val="16"/>
        <w:szCs w:val="16"/>
      </w:rPr>
      <w:t xml:space="preserve">	Seite </w:t>
    </w:r>
    <w:r>
      <w:rPr>
        <w:color w:val="555555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555555"/>
        <w:sz w:val="16"/>
        <w:szCs w:val="16"/>
      </w:rPr>
      <w:t xml:space="preserve"> von </w:t>
    </w:r>
    <w:r>
      <w:rPr>
        <w:color w:val="555555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026"/>
      </w:tabs>
    </w:pPr>
    <w:r>
      <w:rPr>
        <w:color w:val="0066AA"/>
        <w:sz w:val="16"/>
        <w:szCs w:val="16"/>
      </w:rPr>
      <w:t xml:space="preserve">Etappenplan – Selbstlernkurs</w:t>
    </w:r>
    <w:r>
      <w:rPr>
        <w:color w:val="555555"/>
        <w:sz w:val="16"/>
        <w:szCs w:val="16"/>
      </w:rPr>
      <w:t xml:space="preserve">	Nordfracht Logistik GmbH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0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4"/>
    <w:lvlOverride w:ilvl="0">
      <w:startOverride w:val="1"/>
    </w:lvlOverride>
  </w:num>
  <w:num w:numId="4">
    <w:abstractNumId w:val="5"/>
    <w:lvlOverride w:ilvl="0">
      <w:startOverride w:val="1"/>
    </w:lvlOverride>
  </w:num>
  <w:num w:numId="5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0000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80"/>
      <w:outlineLvl w:val="0"/>
    </w:pPr>
    <w:rPr>
      <w:rFonts w:ascii="Calibri" w:cs="Calibri" w:eastAsia="Calibri" w:hAnsi="Calibri"/>
      <w:b/>
      <w:bCs/>
      <w:color w:val="003366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Calibri" w:cs="Calibri" w:eastAsia="Calibri" w:hAnsi="Calibri"/>
      <w:b/>
      <w:bCs/>
      <w:color w:val="0066A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  <w:outlineLvl w:val="2"/>
    </w:pPr>
    <w:rPr>
      <w:rFonts w:ascii="Calibri" w:cs="Calibri" w:eastAsia="Calibri" w:hAnsi="Calibri"/>
      <w:b/>
      <w:bCs/>
      <w:color w:val="003366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2026-06-09T05:16:37.249Z</dcterms:created>
  <dcterms:modified xsi:type="dcterms:W3CDTF">2026-06-09T05:16:37.250Z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