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SERVERDIENSTE BEREITSTELLEN</w:t>
      </w:r>
    </w:p>
    <w:p>
      <w:pPr>
        <w:spacing w:after="40"/>
      </w:pPr>
      <w:r>
        <w:rPr>
          <w:rFonts w:ascii="Calibri" w:cs="Calibri" w:eastAsia="Calibri" w:hAnsi="Calibri"/>
          <w:b/>
          <w:bCs/>
          <w:color w:val="003366"/>
          <w:sz w:val="38"/>
          <w:szCs w:val="38"/>
        </w:rPr>
        <w:t xml:space="preserve">Lab-Leittext — Etappe 3</w:t>
      </w:r>
    </w:p>
    <w:p>
      <w:pPr>
        <w:pBdr>
          <w:bottom w:val="single" w:color="F0A500" w:sz="8" w:space="6"/>
        </w:pBdr>
        <w:spacing w:after="60"/>
      </w:pPr>
      <w:r>
        <w:rPr>
          <w:rFonts w:ascii="Calibri" w:cs="Calibri" w:eastAsia="Calibri" w:hAnsi="Calibri"/>
          <w:color w:val="5A6B7B"/>
          <w:sz w:val="23"/>
          <w:szCs w:val="23"/>
        </w:rPr>
        <w:t xml:space="preserve">Dateiserver, AGDLP-Rechtevergabe, Druckdienst &amp; Linux-Rechte</w:t>
      </w:r>
    </w:p>
    <w:p>
      <w:pPr>
        <w:spacing w:after="160"/>
      </w:pPr>
      <w:r>
        <w:rPr>
          <w:rFonts w:ascii="Calibri" w:cs="Calibri" w:eastAsia="Calibri" w:hAnsi="Calibri"/>
          <w:b/>
          <w:bCs/>
          <w:color w:val="2E7D32"/>
          <w:sz w:val="24"/>
          <w:szCs w:val="24"/>
        </w:rPr>
        <w:t xml:space="preserve">Dozenten-Lösungsheft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FFF4DC" w:sz="1"/>
              <w:left w:val="single" w:color="FFF4DC" w:sz="1"/>
              <w:bottom w:val="single" w:color="FFF4DC" w:sz="1"/>
              <w:right w:val="single" w:color="FFF4DC" w:sz="1"/>
            </w:tcBorders>
            <w:shd w:fill="FFF4DC" w:val="clear"/>
            <w:tcMar>
              <w:top w:type="dxa" w:w="120"/>
              <w:left w:type="dxa" w:w="160"/>
              <w:bottom w:type="dxa" w:w="120"/>
              <w:right w:type="dxa" w:w="160"/>
            </w:tcMar>
          </w:tcPr>
          <w:p>
            <w:pPr>
              <w:spacing w:after="70"/>
            </w:pPr>
            <w:r>
              <w:rPr>
                <w:rFonts w:ascii="Calibri" w:cs="Calibri" w:eastAsia="Calibri" w:hAnsi="Calibri"/>
                <w:b/>
                <w:bCs/>
                <w:color w:val="F0A500"/>
                <w:sz w:val="22"/>
                <w:szCs w:val="22"/>
              </w:rPr>
              <w:t xml:space="preserve">Hinweise für die Lehrkraft</w:t>
            </w:r>
          </w:p>
          <w:p>
            <w:pPr>
              <w:spacing w:after="60" w:line="264"/>
            </w:pPr>
            <w:r>
              <w:rPr>
                <w:rFonts w:ascii="Calibri" w:cs="Calibri" w:eastAsia="Calibri" w:hAnsi="Calibri"/>
                <w:color w:val="1A1A1A"/>
                <w:sz w:val="21"/>
                <w:szCs w:val="21"/>
              </w:rPr>
              <w:t xml:space="preserve">Dauer: ca. 5–6 UE (Teil A Dateiserver+AGDLP ca. 3 UE, Teil B Druck ca. 1 UE, Teil C Linux ca. 2 UE).</w:t>
            </w:r>
          </w:p>
          <w:p>
            <w:pPr>
              <w:spacing w:after="60" w:line="264"/>
            </w:pPr>
            <w:r>
              <w:rPr>
                <w:rFonts w:ascii="Calibri" w:cs="Calibri" w:eastAsia="Calibri" w:hAnsi="Calibri"/>
                <w:color w:val="1A1A1A"/>
                <w:sz w:val="21"/>
                <w:szCs w:val="21"/>
              </w:rPr>
              <w:t xml:space="preserve">Material: Windows-Server-DC aus Etappe 1/2 mit zweitem Datenträger D:; Linux-VM (Ubuntu) für Teil C; zwei Testbenutzer (m.mustermann/Vertrieb, e.euler/Buchhaltung) aus Etappe 1 bzw. neu anlegen.</w:t>
            </w:r>
          </w:p>
          <w:p>
            <w:pPr>
              <w:spacing w:after="60" w:line="264"/>
            </w:pPr>
            <w:r>
              <w:rPr>
                <w:rFonts w:ascii="Calibri" w:cs="Calibri" w:eastAsia="Calibri" w:hAnsi="Calibri"/>
                <w:color w:val="1A1A1A"/>
                <w:sz w:val="21"/>
                <w:szCs w:val="21"/>
              </w:rPr>
              <w:t xml:space="preserve">Stolpersteine: (1) AGDLP-Verschachtelung: globale Gruppe MUSS Mitglied der domänenlokalen Gruppe werden, sonst greift das Recht nicht. (2) Effektive Berechtigung am Client (nicht lokal am Server) testen. (3) Bei Teil B ohne physischen Drucker einen Microsoft-Print-to-PDF-Port nutzen. (4) setfacl benötigt ggf. acl-Paket und Mount-Option acl.</w:t>
            </w:r>
          </w:p>
        </w:tc>
      </w:tr>
    </w:tbl>
    <w:p>
      <w:pPr>
        <w:spacing w:after="60" w:line="276"/>
      </w:pPr>
      <w:r>
        <w:rPr>
          <w:rFonts w:ascii="Calibri" w:cs="Calibri" w:eastAsia="Calibri" w:hAnsi="Calibri"/>
          <w:color w:val="1A1A1A"/>
          <w:sz w:val="22"/>
          <w:szCs w:val="22"/>
        </w:rPr>
        <w:t xml:space="preserve"> </w:t>
      </w:r>
    </w:p>
    <w:p>
      <w:pPr>
        <w:pStyle w:val="Heading1"/>
        <w:spacing w:after="140" w:before="320"/>
      </w:pPr>
      <w:r>
        <w:rPr>
          <w:rFonts w:ascii="Calibri" w:cs="Calibri" w:eastAsia="Calibri" w:hAnsi="Calibri"/>
          <w:b/>
          <w:bCs/>
          <w:color w:val="003366"/>
          <w:sz w:val="30"/>
          <w:szCs w:val="30"/>
        </w:rPr>
        <w:t xml:space="preserve">Szenario</w:t>
      </w:r>
    </w:p>
    <w:p>
      <w:pPr>
        <w:spacing w:after="120" w:line="276"/>
      </w:pPr>
      <w:r>
        <w:rPr>
          <w:rFonts w:ascii="Calibri" w:cs="Calibri" w:eastAsia="Calibri" w:hAnsi="Calibri"/>
          <w:color w:val="1A1A1A"/>
          <w:sz w:val="22"/>
          <w:szCs w:val="22"/>
        </w:rPr>
        <w:t xml:space="preserve">Auf dem Dateiserver der Nordfracht GmbH sollen Vertrieb und Buchhaltung getrennte Ablagen erhalten. Sie richten die Freigabe ein, vergeben die Rechte sauber nach AGDLP, stellen einen Drucker bereit und bilden dasselbe Prinzip anschließend unter Linux nach.</w:t>
      </w:r>
    </w:p>
    <w:p>
      <w:pPr>
        <w:spacing w:after="120" w:line="276"/>
      </w:pPr>
      <w:r>
        <w:rPr>
          <w:rFonts w:ascii="Calibri" w:cs="Calibri" w:eastAsia="Calibri" w:hAnsi="Calibri"/>
          <w:b/>
          <w:bCs/>
          <w:color w:val="1A1A1A"/>
          <w:sz w:val="22"/>
          <w:szCs w:val="22"/>
        </w:rPr>
        <w:t xml:space="preserve">Server: </w:t>
      </w:r>
      <w:r>
        <w:rPr>
          <w:rFonts w:ascii="Consolas" w:cs="Consolas" w:eastAsia="Consolas" w:hAnsi="Consolas"/>
          <w:color w:val="1A1A1A"/>
          <w:sz w:val="22"/>
          <w:szCs w:val="22"/>
        </w:rPr>
        <w:t xml:space="preserve">dc01.firma.de</w:t>
      </w:r>
      <w:r>
        <w:rPr>
          <w:rFonts w:ascii="Calibri" w:cs="Calibri" w:eastAsia="Calibri" w:hAnsi="Calibri"/>
          <w:b/>
          <w:bCs/>
          <w:color w:val="1A1A1A"/>
          <w:sz w:val="22"/>
          <w:szCs w:val="22"/>
        </w:rPr>
        <w:t xml:space="preserve">   ·   Datenpfad: </w:t>
      </w:r>
      <w:r>
        <w:rPr>
          <w:rFonts w:ascii="Consolas" w:cs="Consolas" w:eastAsia="Consolas" w:hAnsi="Consolas"/>
          <w:color w:val="1A1A1A"/>
          <w:sz w:val="22"/>
          <w:szCs w:val="22"/>
        </w:rPr>
        <w:t xml:space="preserve">D:\Daten\Vertrieb</w:t>
      </w:r>
      <w:r>
        <w:rPr>
          <w:rFonts w:ascii="Calibri" w:cs="Calibri" w:eastAsia="Calibri" w:hAnsi="Calibri"/>
          <w:b/>
          <w:bCs/>
          <w:color w:val="1A1A1A"/>
          <w:sz w:val="22"/>
          <w:szCs w:val="22"/>
        </w:rPr>
        <w:t xml:space="preserve">   ·   Testbenutzer: </w:t>
      </w:r>
      <w:r>
        <w:rPr>
          <w:rFonts w:ascii="Calibri" w:cs="Calibri" w:eastAsia="Calibri" w:hAnsi="Calibri"/>
          <w:color w:val="1A1A1A"/>
          <w:sz w:val="22"/>
          <w:szCs w:val="22"/>
        </w:rPr>
        <w:t xml:space="preserve">m.mustermann (Vertrieb), e.euler (Buchhaltung)</w:t>
      </w:r>
    </w:p>
    <w:p>
      <w:pPr>
        <w:pStyle w:val="Heading1"/>
        <w:spacing w:after="140" w:before="320"/>
      </w:pPr>
      <w:r>
        <w:rPr>
          <w:rFonts w:ascii="Calibri" w:cs="Calibri" w:eastAsia="Calibri" w:hAnsi="Calibri"/>
          <w:b/>
          <w:bCs/>
          <w:color w:val="003366"/>
          <w:sz w:val="30"/>
          <w:szCs w:val="30"/>
        </w:rPr>
        <w:t xml:space="preserve">Voraussetzungen</w:t>
      </w:r>
    </w:p>
    <w:p>
      <w:pPr>
        <w:pStyle w:val="ListParagraph"/>
        <w:numPr>
          <w:ilvl w:val="0"/>
          <w:numId w:val="2"/>
        </w:numPr>
        <w:spacing w:after="70" w:line="270"/>
      </w:pPr>
      <w:r>
        <w:rPr>
          <w:rFonts w:ascii="Calibri" w:cs="Calibri" w:eastAsia="Calibri" w:hAnsi="Calibri"/>
          <w:color w:val="1A1A1A"/>
          <w:sz w:val="22"/>
          <w:szCs w:val="22"/>
        </w:rPr>
        <w:t xml:space="preserve">Windows-Server-DC aus Etappe 1/2, zweiter Datenträger als D: eingebunden.</w:t>
      </w:r>
    </w:p>
    <w:p>
      <w:pPr>
        <w:pStyle w:val="ListParagraph"/>
        <w:numPr>
          <w:ilvl w:val="0"/>
          <w:numId w:val="2"/>
        </w:numPr>
        <w:spacing w:after="70" w:line="270"/>
      </w:pPr>
      <w:r>
        <w:rPr>
          <w:rFonts w:ascii="Calibri" w:cs="Calibri" w:eastAsia="Calibri" w:hAnsi="Calibri"/>
          <w:color w:val="1A1A1A"/>
          <w:sz w:val="22"/>
          <w:szCs w:val="22"/>
        </w:rPr>
        <w:t xml:space="preserve">Zwei Domänenbenutzer (m.mustermann, e.euler). Ggf. e.euler neu anlegen (vgl. Etappe 1).</w:t>
      </w:r>
    </w:p>
    <w:p>
      <w:pPr>
        <w:pStyle w:val="ListParagraph"/>
        <w:numPr>
          <w:ilvl w:val="0"/>
          <w:numId w:val="2"/>
        </w:numPr>
        <w:spacing w:after="70" w:line="270"/>
      </w:pPr>
      <w:r>
        <w:rPr>
          <w:rFonts w:ascii="Calibri" w:cs="Calibri" w:eastAsia="Calibri" w:hAnsi="Calibri"/>
          <w:color w:val="1A1A1A"/>
          <w:sz w:val="22"/>
          <w:szCs w:val="22"/>
        </w:rPr>
        <w:t xml:space="preserve">Eine Linux-VM (Ubuntu) mit installiertem Paket acl für Teil C. Snapshot vor Beginn.</w:t>
      </w:r>
    </w:p>
    <w:p>
      <w:pPr>
        <w:pStyle w:val="Heading1"/>
        <w:spacing w:after="140" w:before="320"/>
      </w:pPr>
      <w:r>
        <w:rPr>
          <w:rFonts w:ascii="Calibri" w:cs="Calibri" w:eastAsia="Calibri" w:hAnsi="Calibri"/>
          <w:b/>
          <w:bCs/>
          <w:color w:val="003366"/>
          <w:sz w:val="30"/>
          <w:szCs w:val="30"/>
        </w:rPr>
        <w:t xml:space="preserve">Teil A — Dateiserver &amp; Rechte nach AGDLP</w:t>
      </w:r>
    </w:p>
    <w:p>
      <w:pPr>
        <w:pStyle w:val="Heading2"/>
        <w:spacing w:after="100" w:before="220"/>
      </w:pPr>
      <w:r>
        <w:rPr>
          <w:rFonts w:ascii="Calibri" w:cs="Calibri" w:eastAsia="Calibri" w:hAnsi="Calibri"/>
          <w:b/>
          <w:bCs/>
          <w:color w:val="0066AA"/>
          <w:sz w:val="25"/>
          <w:szCs w:val="25"/>
        </w:rPr>
        <w:t xml:space="preserve">Aufgabe A1: Ordner und Freigabe anlegen</w:t>
      </w:r>
    </w:p>
    <w:p>
      <w:pPr>
        <w:spacing w:after="120" w:line="276"/>
      </w:pPr>
      <w:r>
        <w:rPr>
          <w:rFonts w:ascii="Calibri" w:cs="Calibri" w:eastAsia="Calibri" w:hAnsi="Calibri"/>
          <w:color w:val="1A1A1A"/>
          <w:sz w:val="22"/>
          <w:szCs w:val="22"/>
        </w:rPr>
        <w:t xml:space="preserve">Erstellen Sie den Ordner D:\Daten\Vertrieb und geben Sie ihn als „Vertrieb“ frei. Die Freigabeberechtigung erhält großzügig „Authentifizierte Benutzer“ = Vollzugriff (Feinsteuerung erfolgt über NTFS).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New-Item -Path "D:\Daten\Vertrieb" -ItemType Directory</w:t>
            </w:r>
          </w:p>
          <w:p>
            <w:pPr>
              <w:spacing w:after="0" w:line="250"/>
            </w:pPr>
            <w:r>
              <w:rPr>
                <w:rFonts w:ascii="Consolas" w:cs="Consolas" w:eastAsia="Consolas" w:hAnsi="Consolas"/>
                <w:color w:val="D6E4F0"/>
                <w:sz w:val="19"/>
                <w:szCs w:val="19"/>
              </w:rPr>
              <w:t xml:space="preserve">New-SmbShare -Name "Vertrieb" -Path "D:\Daten\Vertrieb" `</w:t>
            </w:r>
          </w:p>
          <w:p>
            <w:pPr>
              <w:spacing w:after="0" w:line="250"/>
            </w:pPr>
            <w:r>
              <w:rPr>
                <w:rFonts w:ascii="Consolas" w:cs="Consolas" w:eastAsia="Consolas" w:hAnsi="Consolas"/>
                <w:color w:val="D6E4F0"/>
                <w:sz w:val="19"/>
                <w:szCs w:val="19"/>
              </w:rPr>
              <w:t xml:space="preserve">  -FullAccess "Authentifizierte Benutzer"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Kontrolle</w:t>
            </w:r>
          </w:p>
          <w:p>
            <w:pPr>
              <w:spacing w:after="0" w:line="248"/>
            </w:pPr>
            <w:r>
              <w:rPr>
                <w:rFonts w:ascii="Consolas" w:cs="Consolas" w:eastAsia="Consolas" w:hAnsi="Consolas"/>
                <w:color w:val="003366"/>
                <w:sz w:val="18"/>
                <w:szCs w:val="18"/>
              </w:rPr>
              <w:t xml:space="preserve">Get-SmbShare -Name Vertrieb</w:t>
            </w:r>
          </w:p>
          <w:p>
            <w:pPr>
              <w:spacing w:after="0" w:line="248"/>
            </w:pPr>
            <w:r>
              <w:rPr>
                <w:rFonts w:ascii="Consolas" w:cs="Consolas" w:eastAsia="Consolas" w:hAnsi="Consolas"/>
                <w:color w:val="003366"/>
                <w:sz w:val="18"/>
                <w:szCs w:val="18"/>
              </w:rPr>
              <w:t xml:space="preserve"># -&gt; Name=Vertrieb  Path=D:\Daten\Vertrieb</w:t>
            </w:r>
          </w:p>
        </w:tc>
      </w:tr>
    </w:tbl>
    <w:p>
      <w:pPr>
        <w:pStyle w:val="Heading2"/>
        <w:spacing w:after="100" w:before="220"/>
      </w:pPr>
      <w:r>
        <w:rPr>
          <w:rFonts w:ascii="Calibri" w:cs="Calibri" w:eastAsia="Calibri" w:hAnsi="Calibri"/>
          <w:b/>
          <w:bCs/>
          <w:color w:val="0066AA"/>
          <w:sz w:val="25"/>
          <w:szCs w:val="25"/>
        </w:rPr>
        <w:t xml:space="preserve">Aufgabe A2: AGDLP-Gruppen anlegen und verschachteln</w:t>
      </w:r>
    </w:p>
    <w:p>
      <w:pPr>
        <w:spacing w:after="120" w:line="276"/>
      </w:pPr>
      <w:r>
        <w:rPr>
          <w:rFonts w:ascii="Calibri" w:cs="Calibri" w:eastAsia="Calibri" w:hAnsi="Calibri"/>
          <w:color w:val="1A1A1A"/>
          <w:sz w:val="22"/>
          <w:szCs w:val="22"/>
        </w:rPr>
        <w:t xml:space="preserve">Legen Sie die globale Gruppe GG_Vertrieb und die domänenlokale Gruppe DL_Vertrieb_RW an. Nehmen Sie m.mustermann in GG_Vertrieb auf und GG_Vertrieb in DL_Vertrieb_RW (das Herz von AGDLP).</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New-ADGroup -Name "GG_Vertrieb" -GroupScope Global -Path "OU=Vertrieb,DC=firma,DC=de"</w:t>
            </w:r>
          </w:p>
          <w:p>
            <w:pPr>
              <w:spacing w:after="0" w:line="250"/>
            </w:pPr>
            <w:r>
              <w:rPr>
                <w:rFonts w:ascii="Consolas" w:cs="Consolas" w:eastAsia="Consolas" w:hAnsi="Consolas"/>
                <w:color w:val="D6E4F0"/>
                <w:sz w:val="19"/>
                <w:szCs w:val="19"/>
              </w:rPr>
              <w:t xml:space="preserve">New-ADGroup -Name "DL_Vertrieb_RW" -GroupScope DomainLocal -Path "OU=Vertrieb,DC=firma,DC=de"</w:t>
            </w:r>
          </w:p>
          <w:p>
            <w:pPr>
              <w:spacing w:after="0" w:line="250"/>
            </w:pPr>
            <w:r>
              <w:rPr>
                <w:rFonts w:ascii="Consolas" w:cs="Consolas" w:eastAsia="Consolas" w:hAnsi="Consolas"/>
                <w:color w:val="D6E4F0"/>
                <w:sz w:val="19"/>
                <w:szCs w:val="19"/>
              </w:rPr>
              <w:t xml:space="preserve">Add-ADGroupMember -Identity GG_Vertrieb   -Members m.mustermann</w:t>
            </w:r>
          </w:p>
          <w:p>
            <w:pPr>
              <w:spacing w:after="0" w:line="250"/>
            </w:pPr>
            <w:r>
              <w:rPr>
                <w:rFonts w:ascii="Consolas" w:cs="Consolas" w:eastAsia="Consolas" w:hAnsi="Consolas"/>
                <w:color w:val="D6E4F0"/>
                <w:sz w:val="19"/>
                <w:szCs w:val="19"/>
              </w:rPr>
              <w:t xml:space="preserve">Add-ADGroupMember -Identity DL_Vertrieb_RW -Members GG_Vertrieb</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Kern von AGDLP</w:t>
            </w:r>
          </w:p>
          <w:p>
            <w:pPr>
              <w:spacing w:after="60" w:line="264"/>
            </w:pPr>
            <w:r>
              <w:rPr>
                <w:rFonts w:ascii="Calibri" w:cs="Calibri" w:eastAsia="Calibri" w:hAnsi="Calibri"/>
                <w:color w:val="1A1A1A"/>
                <w:sz w:val="21"/>
                <w:szCs w:val="21"/>
              </w:rPr>
              <w:t xml:space="preserve">Entscheidend ist die letzte Zeile: Die globale Gruppe wird Mitglied der domänenlokalen Gruppe. Nur DL_Vertrieb_RW erhält später das NTFS-Recht — fehlt die Verschachtelung, hat der Benutzer trotz Gruppenmitgliedschaft keinen Zugriff.</w:t>
            </w:r>
          </w:p>
        </w:tc>
      </w:tr>
    </w:tbl>
    <w:p>
      <w:pPr>
        <w:pStyle w:val="Heading2"/>
        <w:spacing w:after="100" w:before="220"/>
      </w:pPr>
      <w:r>
        <w:rPr>
          <w:rFonts w:ascii="Calibri" w:cs="Calibri" w:eastAsia="Calibri" w:hAnsi="Calibri"/>
          <w:b/>
          <w:bCs/>
          <w:color w:val="0066AA"/>
          <w:sz w:val="25"/>
          <w:szCs w:val="25"/>
        </w:rPr>
        <w:t xml:space="preserve">Aufgabe A3: NTFS-Recht der DL-Gruppe zuweisen</w:t>
      </w:r>
    </w:p>
    <w:p>
      <w:pPr>
        <w:spacing w:after="120" w:line="276"/>
      </w:pPr>
      <w:r>
        <w:rPr>
          <w:rFonts w:ascii="Calibri" w:cs="Calibri" w:eastAsia="Calibri" w:hAnsi="Calibri"/>
          <w:color w:val="1A1A1A"/>
          <w:sz w:val="22"/>
          <w:szCs w:val="22"/>
        </w:rPr>
        <w:t xml:space="preserve">Geben Sie der Gruppe DL_Vertrieb_RW auf D:\Daten\Vertrieb das NTFS-Recht „Ändern“ (Modify).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$acl  = Get-Acl "D:\Daten\Vertrieb"</w:t>
            </w:r>
          </w:p>
          <w:p>
            <w:pPr>
              <w:spacing w:after="0" w:line="250"/>
            </w:pPr>
            <w:r>
              <w:rPr>
                <w:rFonts w:ascii="Consolas" w:cs="Consolas" w:eastAsia="Consolas" w:hAnsi="Consolas"/>
                <w:color w:val="D6E4F0"/>
                <w:sz w:val="19"/>
                <w:szCs w:val="19"/>
              </w:rPr>
              <w:t xml:space="preserve">$rule = New-Object System.Security.AccessControl.FileSystemAccessRule(`</w:t>
            </w:r>
          </w:p>
          <w:p>
            <w:pPr>
              <w:spacing w:after="0" w:line="250"/>
            </w:pPr>
            <w:r>
              <w:rPr>
                <w:rFonts w:ascii="Consolas" w:cs="Consolas" w:eastAsia="Consolas" w:hAnsi="Consolas"/>
                <w:color w:val="D6E4F0"/>
                <w:sz w:val="19"/>
                <w:szCs w:val="19"/>
              </w:rPr>
              <w:t xml:space="preserve">  "FIRMA\DL_Vertrieb_RW","Modify","ContainerInherit,ObjectInherit","None","Allow")</w:t>
            </w:r>
          </w:p>
          <w:p>
            <w:pPr>
              <w:spacing w:after="0" w:line="250"/>
            </w:pPr>
            <w:r>
              <w:rPr>
                <w:rFonts w:ascii="Consolas" w:cs="Consolas" w:eastAsia="Consolas" w:hAnsi="Consolas"/>
                <w:color w:val="D6E4F0"/>
                <w:sz w:val="19"/>
                <w:szCs w:val="19"/>
              </w:rPr>
              <w:t xml:space="preserve">$acl.AddAccessRule($rule)</w:t>
            </w:r>
          </w:p>
          <w:p>
            <w:pPr>
              <w:spacing w:after="0" w:line="250"/>
            </w:pPr>
            <w:r>
              <w:rPr>
                <w:rFonts w:ascii="Consolas" w:cs="Consolas" w:eastAsia="Consolas" w:hAnsi="Consolas"/>
                <w:color w:val="D6E4F0"/>
                <w:sz w:val="19"/>
                <w:szCs w:val="19"/>
              </w:rPr>
              <w:t xml:space="preserve">Set-Acl "D:\Daten\Vertrieb" $acl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Hinweis</w:t>
            </w:r>
          </w:p>
          <w:p>
            <w:pPr>
              <w:spacing w:after="60" w:line="264"/>
            </w:pPr>
            <w:r>
              <w:rPr>
                <w:rFonts w:ascii="Calibri" w:cs="Calibri" w:eastAsia="Calibri" w:hAnsi="Calibri"/>
                <w:color w:val="1A1A1A"/>
                <w:sz w:val="21"/>
                <w:szCs w:val="21"/>
              </w:rPr>
              <w:t xml:space="preserve">ContainerInherit,ObjectInherit sorgt für Vererbung auf Unterordner und Dateien. Alternativ geht das in der GUI über Eigenschaften → Sicherheit → Bearbeiten.</w:t>
            </w:r>
          </w:p>
        </w:tc>
      </w:tr>
    </w:tbl>
    <w:p>
      <w:pPr>
        <w:pStyle w:val="Heading2"/>
        <w:spacing w:after="100" w:before="220"/>
      </w:pPr>
      <w:r>
        <w:rPr>
          <w:rFonts w:ascii="Calibri" w:cs="Calibri" w:eastAsia="Calibri" w:hAnsi="Calibri"/>
          <w:b/>
          <w:bCs/>
          <w:color w:val="0066AA"/>
          <w:sz w:val="25"/>
          <w:szCs w:val="25"/>
        </w:rPr>
        <w:t xml:space="preserve">Aufgabe A4: Effektive Berechtigung testen</w:t>
      </w:r>
    </w:p>
    <w:p>
      <w:pPr>
        <w:spacing w:after="120" w:line="276"/>
      </w:pPr>
      <w:r>
        <w:rPr>
          <w:rFonts w:ascii="Calibri" w:cs="Calibri" w:eastAsia="Calibri" w:hAnsi="Calibri"/>
          <w:color w:val="1A1A1A"/>
          <w:sz w:val="22"/>
          <w:szCs w:val="22"/>
        </w:rPr>
        <w:t xml:space="preserve">Melden Sie sich an einem Client als m.mustermann an und öffnen Sie \\dc01\Vertrieb. Anschließend als e.euler (Buchhaltung, nicht in der Gruppe).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Erwartetes Verhalten</w:t>
            </w:r>
          </w:p>
          <w:p>
            <w:pPr>
              <w:spacing w:after="60" w:line="264"/>
            </w:pPr>
            <w:r>
              <w:rPr>
                <w:rFonts w:ascii="Calibri" w:cs="Calibri" w:eastAsia="Calibri" w:hAnsi="Calibri"/>
                <w:color w:val="1A1A1A"/>
                <w:sz w:val="21"/>
                <w:szCs w:val="21"/>
              </w:rPr>
              <w:t xml:space="preserve">m.mustermann: Zugriff mit Schreibrecht (über GG_Vertrieb → DL_Vertrieb_RW → Modify).</w:t>
            </w:r>
          </w:p>
          <w:p>
            <w:pPr>
              <w:spacing w:after="60" w:line="264"/>
            </w:pPr>
            <w:r>
              <w:rPr>
                <w:rFonts w:ascii="Calibri" w:cs="Calibri" w:eastAsia="Calibri" w:hAnsi="Calibri"/>
                <w:color w:val="1A1A1A"/>
                <w:sz w:val="21"/>
                <w:szCs w:val="21"/>
              </w:rPr>
              <w:t xml:space="preserve">e.euler: kein Zugriff (nicht in der Gruppenkette). Auf der Freigabe wäre er zwar zugelassen, aber NTFS verweigert mangels Recht — die restriktivste Ebene gewinnt.</w:t>
            </w:r>
          </w:p>
        </w:tc>
      </w:tr>
    </w:tbl>
    <w:p>
      <w:pPr>
        <w:pStyle w:val="Heading2"/>
        <w:spacing w:after="100" w:before="220"/>
      </w:pPr>
      <w:r>
        <w:rPr>
          <w:rFonts w:ascii="Calibri" w:cs="Calibri" w:eastAsia="Calibri" w:hAnsi="Calibri"/>
          <w:b/>
          <w:bCs/>
          <w:color w:val="0066AA"/>
          <w:sz w:val="25"/>
          <w:szCs w:val="25"/>
        </w:rPr>
        <w:t xml:space="preserve">Aufgabe A5: Vererbung gezielt unterbrechen</w:t>
      </w:r>
    </w:p>
    <w:p>
      <w:pPr>
        <w:spacing w:after="120" w:line="276"/>
      </w:pPr>
      <w:r>
        <w:rPr>
          <w:rFonts w:ascii="Calibri" w:cs="Calibri" w:eastAsia="Calibri" w:hAnsi="Calibri"/>
          <w:color w:val="1A1A1A"/>
          <w:sz w:val="22"/>
          <w:szCs w:val="22"/>
        </w:rPr>
        <w:t xml:space="preserve">Im Unterordner „Vertraulich“ soll NUR m.mustermann lesen dürfen. Unterbrechen Sie dort die Vererbung und setzen Sie das Recht explizit.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Lösung (GUI-Weg)</w:t>
            </w:r>
          </w:p>
          <w:p>
            <w:pPr>
              <w:spacing w:after="60" w:line="264"/>
            </w:pPr>
            <w:r>
              <w:rPr>
                <w:rFonts w:ascii="Calibri" w:cs="Calibri" w:eastAsia="Calibri" w:hAnsi="Calibri"/>
                <w:color w:val="1A1A1A"/>
                <w:sz w:val="21"/>
                <w:szCs w:val="21"/>
              </w:rPr>
              <w:t xml:space="preserve">Unterordner Vertraulich → Eigenschaften → Sicherheit → Erweitert → „Vererbung deaktivieren“ → geerbte Rechte als explizite übernehmen → DL_Vertrieb_RW entfernen, m.mustermann mit „Lesen“ hinzufügen. Ergebnis: nur m.mustermann liest, der Rest der Vertriebsgruppe nicht.</w:t>
            </w:r>
          </w:p>
          <w:p>
            <w:pPr>
              <w:spacing w:after="60" w:line="264"/>
            </w:pPr>
            <w:r>
              <w:rPr>
                <w:rFonts w:ascii="Calibri" w:cs="Calibri" w:eastAsia="Calibri" w:hAnsi="Calibri"/>
                <w:color w:val="1A1A1A"/>
                <w:sz w:val="21"/>
                <w:szCs w:val="21"/>
              </w:rPr>
              <w:t xml:space="preserve">Merke: Ein explizites Recht schlägt das geerbte; nach dem Kappen der Vererbung wirken nur noch die explizit gesetzten Rechte.</w:t>
            </w:r>
          </w:p>
        </w:tc>
      </w:tr>
    </w:tbl>
    <w:p>
      <w:pPr>
        <w:pStyle w:val="Heading1"/>
        <w:pageBreakBefore/>
        <w:spacing w:after="140"/>
      </w:pPr>
      <w:r>
        <w:rPr>
          <w:rFonts w:ascii="Calibri" w:cs="Calibri" w:eastAsia="Calibri" w:hAnsi="Calibri"/>
          <w:b/>
          <w:bCs/>
          <w:color w:val="003366"/>
          <w:sz w:val="30"/>
          <w:szCs w:val="30"/>
        </w:rPr>
        <w:t xml:space="preserve">Teil B — Druckdienst bereitstellen</w:t>
      </w:r>
    </w:p>
    <w:p>
      <w:pPr>
        <w:pStyle w:val="Heading2"/>
        <w:spacing w:after="100" w:before="220"/>
      </w:pPr>
      <w:r>
        <w:rPr>
          <w:rFonts w:ascii="Calibri" w:cs="Calibri" w:eastAsia="Calibri" w:hAnsi="Calibri"/>
          <w:b/>
          <w:bCs/>
          <w:color w:val="0066AA"/>
          <w:sz w:val="25"/>
          <w:szCs w:val="25"/>
        </w:rPr>
        <w:t xml:space="preserve">Aufgabe B1: Druckserver-Rolle und Drucker anlegen</w:t>
      </w:r>
    </w:p>
    <w:p>
      <w:pPr>
        <w:spacing w:after="120" w:line="276"/>
      </w:pPr>
      <w:r>
        <w:rPr>
          <w:rFonts w:ascii="Calibri" w:cs="Calibri" w:eastAsia="Calibri" w:hAnsi="Calibri"/>
          <w:color w:val="1A1A1A"/>
          <w:sz w:val="22"/>
          <w:szCs w:val="22"/>
        </w:rPr>
        <w:t xml:space="preserve">Installieren Sie die Druckserver-Rolle und legen Sie einen Drucker an (ohne physisches Gerät genügt der Port „Microsoft Print to PDF“). Geben Sie ihn als „Vertrieb-Drucker“ frei.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Install-WindowsFeature -Name Print-Services -IncludeManagementTools</w:t>
            </w:r>
          </w:p>
          <w:p>
            <w:pPr>
              <w:spacing w:after="0" w:line="250"/>
            </w:pPr>
            <w:r>
              <w:rPr>
                <w:rFonts w:ascii="Consolas" w:cs="Consolas" w:eastAsia="Consolas" w:hAnsi="Consolas"/>
                <w:color w:val="D6E4F0"/>
                <w:sz w:val="19"/>
                <w:szCs w:val="19"/>
              </w:rPr>
              <w:t xml:space="preserve">Add-Printer -Name "Vertrieb-Drucker" -DriverName "Microsoft Print To PDF" `</w:t>
            </w:r>
          </w:p>
          <w:p>
            <w:pPr>
              <w:spacing w:after="0" w:line="250"/>
            </w:pPr>
            <w:r>
              <w:rPr>
                <w:rFonts w:ascii="Consolas" w:cs="Consolas" w:eastAsia="Consolas" w:hAnsi="Consolas"/>
                <w:color w:val="D6E4F0"/>
                <w:sz w:val="19"/>
                <w:szCs w:val="19"/>
              </w:rPr>
              <w:t xml:space="preserve">  -PortName "PORTPROMPT:" -Shared -ShareName "Vertrieb-Drucker"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Kontrolle</w:t>
            </w:r>
          </w:p>
          <w:p>
            <w:pPr>
              <w:spacing w:after="0" w:line="248"/>
            </w:pPr>
            <w:r>
              <w:rPr>
                <w:rFonts w:ascii="Consolas" w:cs="Consolas" w:eastAsia="Consolas" w:hAnsi="Consolas"/>
                <w:color w:val="003366"/>
                <w:sz w:val="18"/>
                <w:szCs w:val="18"/>
              </w:rPr>
              <w:t xml:space="preserve">Get-Printer | Select Name, Shared, ShareName</w:t>
            </w:r>
          </w:p>
        </w:tc>
      </w:tr>
    </w:tbl>
    <w:p>
      <w:pPr>
        <w:pStyle w:val="Heading2"/>
        <w:spacing w:after="100" w:before="220"/>
      </w:pPr>
      <w:r>
        <w:rPr>
          <w:rFonts w:ascii="Calibri" w:cs="Calibri" w:eastAsia="Calibri" w:hAnsi="Calibri"/>
          <w:b/>
          <w:bCs/>
          <w:color w:val="0066AA"/>
          <w:sz w:val="25"/>
          <w:szCs w:val="25"/>
        </w:rPr>
        <w:t xml:space="preserve">Aufgabe B2: Druckerberechtigung über Gruppe</w:t>
      </w:r>
    </w:p>
    <w:p>
      <w:pPr>
        <w:spacing w:after="120" w:line="276"/>
      </w:pPr>
      <w:r>
        <w:rPr>
          <w:rFonts w:ascii="Calibri" w:cs="Calibri" w:eastAsia="Calibri" w:hAnsi="Calibri"/>
          <w:color w:val="1A1A1A"/>
          <w:sz w:val="22"/>
          <w:szCs w:val="22"/>
        </w:rPr>
        <w:t xml:space="preserve">Erlauben Sie der Gruppe GG_Vertrieb das Recht „Drucken“ und nennen Sie die drei möglichen Druckerberechtigungen.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Lösung</w:t>
            </w:r>
          </w:p>
          <w:p>
            <w:pPr>
              <w:spacing w:after="60" w:line="264"/>
            </w:pPr>
            <w:r>
              <w:rPr>
                <w:rFonts w:ascii="Calibri" w:cs="Calibri" w:eastAsia="Calibri" w:hAnsi="Calibri"/>
                <w:color w:val="1A1A1A"/>
                <w:sz w:val="21"/>
                <w:szCs w:val="21"/>
              </w:rPr>
              <w:t xml:space="preserve">GUI: Druckereigenschaften → Sicherheit → GG_Vertrieb hinzufügen → „Drucken“ erlauben. Die drei Druckerberechtigungen: Drucken, Dieser Drucker verwalten, Dokumente verwalten.</w:t>
            </w:r>
          </w:p>
        </w:tc>
      </w:tr>
    </w:tbl>
    <w:p>
      <w:pPr>
        <w:pStyle w:val="Heading1"/>
        <w:pageBreakBefore/>
        <w:spacing w:after="140"/>
      </w:pPr>
      <w:r>
        <w:rPr>
          <w:rFonts w:ascii="Calibri" w:cs="Calibri" w:eastAsia="Calibri" w:hAnsi="Calibri"/>
          <w:b/>
          <w:bCs/>
          <w:color w:val="003366"/>
          <w:sz w:val="30"/>
          <w:szCs w:val="30"/>
        </w:rPr>
        <w:t xml:space="preserve">Teil C — Linux: POSIX-Rechte, ACLs &amp; Samba</w:t>
      </w:r>
    </w:p>
    <w:p>
      <w:pPr>
        <w:pStyle w:val="Heading2"/>
        <w:spacing w:after="100" w:before="220"/>
      </w:pPr>
      <w:r>
        <w:rPr>
          <w:rFonts w:ascii="Calibri" w:cs="Calibri" w:eastAsia="Calibri" w:hAnsi="Calibri"/>
          <w:b/>
          <w:bCs/>
          <w:color w:val="0066AA"/>
          <w:sz w:val="25"/>
          <w:szCs w:val="25"/>
        </w:rPr>
        <w:t xml:space="preserve">Aufgabe C1: POSIX-Rechte setzen</w:t>
      </w:r>
    </w:p>
    <w:p>
      <w:pPr>
        <w:spacing w:after="120" w:line="276"/>
      </w:pPr>
      <w:r>
        <w:rPr>
          <w:rFonts w:ascii="Calibri" w:cs="Calibri" w:eastAsia="Calibri" w:hAnsi="Calibri"/>
          <w:color w:val="1A1A1A"/>
          <w:sz w:val="22"/>
          <w:szCs w:val="22"/>
        </w:rPr>
        <w:t xml:space="preserve">Legen Sie /daten/vertrieb an, setzen Sie Besitzer max, Gruppe vertrieb und die Rechte so, dass Besitzer und Gruppe alles dürfen, andere nichts.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sudo mkdir -p /daten/vertrieb</w:t>
            </w:r>
          </w:p>
          <w:p>
            <w:pPr>
              <w:spacing w:after="0" w:line="250"/>
            </w:pPr>
            <w:r>
              <w:rPr>
                <w:rFonts w:ascii="Consolas" w:cs="Consolas" w:eastAsia="Consolas" w:hAnsi="Consolas"/>
                <w:color w:val="D6E4F0"/>
                <w:sz w:val="19"/>
                <w:szCs w:val="19"/>
              </w:rPr>
              <w:t xml:space="preserve">sudo groupadd vertrieb</w:t>
            </w:r>
          </w:p>
          <w:p>
            <w:pPr>
              <w:spacing w:after="0" w:line="250"/>
            </w:pPr>
            <w:r>
              <w:rPr>
                <w:rFonts w:ascii="Consolas" w:cs="Consolas" w:eastAsia="Consolas" w:hAnsi="Consolas"/>
                <w:color w:val="D6E4F0"/>
                <w:sz w:val="19"/>
                <w:szCs w:val="19"/>
              </w:rPr>
              <w:t xml:space="preserve">sudo chown max:vertrieb /daten/vertrieb</w:t>
            </w:r>
          </w:p>
          <w:p>
            <w:pPr>
              <w:spacing w:after="0" w:line="250"/>
            </w:pPr>
            <w:r>
              <w:rPr>
                <w:rFonts w:ascii="Consolas" w:cs="Consolas" w:eastAsia="Consolas" w:hAnsi="Consolas"/>
                <w:color w:val="D6E4F0"/>
                <w:sz w:val="19"/>
                <w:szCs w:val="19"/>
              </w:rPr>
              <w:t xml:space="preserve">sudo chmod 770 /daten/vertrieb</w:t>
            </w:r>
          </w:p>
          <w:p>
            <w:pPr>
              <w:spacing w:after="0" w:line="250"/>
            </w:pPr>
            <w:r>
              <w:rPr>
                <w:rFonts w:ascii="Consolas" w:cs="Consolas" w:eastAsia="Consolas" w:hAnsi="Consolas"/>
                <w:color w:val="D6E4F0"/>
                <w:sz w:val="19"/>
                <w:szCs w:val="19"/>
              </w:rPr>
              <w:t xml:space="preserve">ls -ld /daten/vertrieb   # -&gt; drwxrwx--- ... max vertrieb</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Lösung der Rechtefrage</w:t>
            </w:r>
          </w:p>
          <w:p>
            <w:pPr>
              <w:spacing w:after="60" w:line="264"/>
            </w:pPr>
            <w:r>
              <w:rPr>
                <w:rFonts w:ascii="Calibri" w:cs="Calibri" w:eastAsia="Calibri" w:hAnsi="Calibri"/>
                <w:color w:val="1A1A1A"/>
                <w:sz w:val="21"/>
                <w:szCs w:val="21"/>
              </w:rPr>
              <w:t xml:space="preserve">„Besitzer+Gruppe alles, andere nichts“ = rwxrwx--- = oktal 770.</w:t>
            </w:r>
          </w:p>
        </w:tc>
      </w:tr>
    </w:tbl>
    <w:p>
      <w:pPr>
        <w:pStyle w:val="Heading2"/>
        <w:spacing w:after="100" w:before="220"/>
      </w:pPr>
      <w:r>
        <w:rPr>
          <w:rFonts w:ascii="Calibri" w:cs="Calibri" w:eastAsia="Calibri" w:hAnsi="Calibri"/>
          <w:b/>
          <w:bCs/>
          <w:color w:val="0066AA"/>
          <w:sz w:val="25"/>
          <w:szCs w:val="25"/>
        </w:rPr>
        <w:t xml:space="preserve">Aufgabe C2: erweiterte ACL hinzufügen</w:t>
      </w:r>
    </w:p>
    <w:p>
      <w:pPr>
        <w:spacing w:after="120" w:line="276"/>
      </w:pPr>
      <w:r>
        <w:rPr>
          <w:rFonts w:ascii="Calibri" w:cs="Calibri" w:eastAsia="Calibri" w:hAnsi="Calibri"/>
          <w:color w:val="1A1A1A"/>
          <w:sz w:val="22"/>
          <w:szCs w:val="22"/>
        </w:rPr>
        <w:t xml:space="preserve">Die Buchhaltung soll lesend auf /daten/vertrieb zugreifen, ohne Besitzer oder Gruppe zu ändern. Lösen Sie das mit einer erweiterten ACL.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sudo setfacl -m g:buchhaltung:rx /daten/vertrieb</w:t>
            </w:r>
          </w:p>
          <w:p>
            <w:pPr>
              <w:spacing w:after="0" w:line="250"/>
            </w:pPr>
            <w:r>
              <w:rPr>
                <w:rFonts w:ascii="Consolas" w:cs="Consolas" w:eastAsia="Consolas" w:hAnsi="Consolas"/>
                <w:color w:val="D6E4F0"/>
                <w:sz w:val="19"/>
                <w:szCs w:val="19"/>
              </w:rPr>
              <w:t xml:space="preserve">getfacl /daten/vertrieb</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Erwartete getfacl-Ausgabe (Auszug)</w:t>
            </w:r>
          </w:p>
          <w:p>
            <w:pPr>
              <w:spacing w:after="0" w:line="248"/>
            </w:pPr>
            <w:r>
              <w:rPr>
                <w:rFonts w:ascii="Consolas" w:cs="Consolas" w:eastAsia="Consolas" w:hAnsi="Consolas"/>
                <w:color w:val="003366"/>
                <w:sz w:val="18"/>
                <w:szCs w:val="18"/>
              </w:rPr>
              <w:t xml:space="preserve">user::rwx</w:t>
            </w:r>
          </w:p>
          <w:p>
            <w:pPr>
              <w:spacing w:after="0" w:line="248"/>
            </w:pPr>
            <w:r>
              <w:rPr>
                <w:rFonts w:ascii="Consolas" w:cs="Consolas" w:eastAsia="Consolas" w:hAnsi="Consolas"/>
                <w:color w:val="003366"/>
                <w:sz w:val="18"/>
                <w:szCs w:val="18"/>
              </w:rPr>
              <w:t xml:space="preserve">group::rwx</w:t>
            </w:r>
          </w:p>
          <w:p>
            <w:pPr>
              <w:spacing w:after="0" w:line="248"/>
            </w:pPr>
            <w:r>
              <w:rPr>
                <w:rFonts w:ascii="Consolas" w:cs="Consolas" w:eastAsia="Consolas" w:hAnsi="Consolas"/>
                <w:color w:val="003366"/>
                <w:sz w:val="18"/>
                <w:szCs w:val="18"/>
              </w:rPr>
              <w:t xml:space="preserve">group:buchhaltung:r-x</w:t>
            </w:r>
          </w:p>
          <w:p>
            <w:pPr>
              <w:spacing w:after="0" w:line="248"/>
            </w:pPr>
            <w:r>
              <w:rPr>
                <w:rFonts w:ascii="Consolas" w:cs="Consolas" w:eastAsia="Consolas" w:hAnsi="Consolas"/>
                <w:color w:val="003366"/>
                <w:sz w:val="18"/>
                <w:szCs w:val="18"/>
              </w:rPr>
              <w:t xml:space="preserve">mask::rwx</w:t>
            </w:r>
          </w:p>
          <w:p>
            <w:pPr>
              <w:spacing w:after="0" w:line="248"/>
            </w:pPr>
            <w:r>
              <w:rPr>
                <w:rFonts w:ascii="Consolas" w:cs="Consolas" w:eastAsia="Consolas" w:hAnsi="Consolas"/>
                <w:color w:val="003366"/>
                <w:sz w:val="18"/>
                <w:szCs w:val="18"/>
              </w:rPr>
              <w:t xml:space="preserve">other::---</w:t>
            </w:r>
          </w:p>
        </w:tc>
      </w:tr>
    </w:tbl>
    <w:p>
      <w:pPr>
        <w:pStyle w:val="Heading2"/>
        <w:spacing w:after="100" w:before="220"/>
      </w:pPr>
      <w:r>
        <w:rPr>
          <w:rFonts w:ascii="Calibri" w:cs="Calibri" w:eastAsia="Calibri" w:hAnsi="Calibri"/>
          <w:b/>
          <w:bCs/>
          <w:color w:val="0066AA"/>
          <w:sz w:val="25"/>
          <w:szCs w:val="25"/>
        </w:rPr>
        <w:t xml:space="preserve">Aufgabe C3: Samba-Freigabe einrichten</w:t>
      </w:r>
    </w:p>
    <w:p>
      <w:pPr>
        <w:spacing w:after="120" w:line="276"/>
      </w:pPr>
      <w:r>
        <w:rPr>
          <w:rFonts w:ascii="Calibri" w:cs="Calibri" w:eastAsia="Calibri" w:hAnsi="Calibri"/>
          <w:color w:val="1A1A1A"/>
          <w:sz w:val="22"/>
          <w:szCs w:val="22"/>
        </w:rPr>
        <w:t xml:space="preserve">Stellen Sie /daten/vertrieb über Samba als Freigabe „Vertrieb“ für die Gruppe vertrieb bereit.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/etc/samba/smb.conf  (am Ende ergänzen)</w:t>
            </w:r>
          </w:p>
          <w:p>
            <w:pPr>
              <w:spacing w:after="0" w:line="250"/>
            </w:pPr>
            <w:r>
              <w:rPr>
                <w:rFonts w:ascii="Consolas" w:cs="Consolas" w:eastAsia="Consolas" w:hAnsi="Consolas"/>
                <w:color w:val="D6E4F0"/>
                <w:sz w:val="19"/>
                <w:szCs w:val="19"/>
              </w:rPr>
              <w:t xml:space="preserve">[Vertrieb]</w:t>
            </w:r>
          </w:p>
          <w:p>
            <w:pPr>
              <w:spacing w:after="0" w:line="250"/>
            </w:pPr>
            <w:r>
              <w:rPr>
                <w:rFonts w:ascii="Consolas" w:cs="Consolas" w:eastAsia="Consolas" w:hAnsi="Consolas"/>
                <w:color w:val="D6E4F0"/>
                <w:sz w:val="19"/>
                <w:szCs w:val="19"/>
              </w:rPr>
              <w:t xml:space="preserve">  path = /daten/vertrieb</w:t>
            </w:r>
          </w:p>
          <w:p>
            <w:pPr>
              <w:spacing w:after="0" w:line="250"/>
            </w:pPr>
            <w:r>
              <w:rPr>
                <w:rFonts w:ascii="Consolas" w:cs="Consolas" w:eastAsia="Consolas" w:hAnsi="Consolas"/>
                <w:color w:val="D6E4F0"/>
                <w:sz w:val="19"/>
                <w:szCs w:val="19"/>
              </w:rPr>
              <w:t xml:space="preserve">  valid users = @vertrieb</w:t>
            </w:r>
          </w:p>
          <w:p>
            <w:pPr>
              <w:spacing w:after="0" w:line="250"/>
            </w:pPr>
            <w:r>
              <w:rPr>
                <w:rFonts w:ascii="Consolas" w:cs="Consolas" w:eastAsia="Consolas" w:hAnsi="Consolas"/>
                <w:color w:val="D6E4F0"/>
                <w:sz w:val="19"/>
                <w:szCs w:val="19"/>
              </w:rPr>
              <w:t xml:space="preserve">  writable = yes</w:t>
            </w:r>
          </w:p>
          <w:p>
            <w:pPr>
              <w:spacing w:after="0" w:line="250"/>
            </w:pPr>
            <w:r>
              <w:rPr>
                <w:rFonts w:ascii="Consolas" w:cs="Consolas" w:eastAsia="Consolas" w:hAnsi="Consolas"/>
                <w:color w:val="D6E4F0"/>
                <w:sz w:val="19"/>
                <w:szCs w:val="19"/>
              </w:rPr>
              <w:t xml:space="preserve">  browseable = yes</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sudo systemctl restart smbd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Test</w:t>
            </w:r>
          </w:p>
          <w:p>
            <w:pPr>
              <w:spacing w:after="0" w:line="248"/>
            </w:pPr>
            <w:r>
              <w:rPr>
                <w:rFonts w:ascii="Consolas" w:cs="Consolas" w:eastAsia="Consolas" w:hAnsi="Consolas"/>
                <w:color w:val="003366"/>
                <w:sz w:val="18"/>
                <w:szCs w:val="18"/>
              </w:rPr>
              <w:t xml:space="preserve"># vom Windows-Client:</w:t>
            </w:r>
          </w:p>
          <w:p>
            <w:pPr>
              <w:spacing w:after="0" w:line="248"/>
            </w:pPr>
            <w:r>
              <w:rPr>
                <w:rFonts w:ascii="Consolas" w:cs="Consolas" w:eastAsia="Consolas" w:hAnsi="Consolas"/>
                <w:color w:val="003366"/>
                <w:sz w:val="18"/>
                <w:szCs w:val="18"/>
              </w:rPr>
              <w:t xml:space="preserve">\\&lt;linux-ip&gt;\Vertrieb</w:t>
            </w:r>
          </w:p>
        </w:tc>
      </w:tr>
    </w:tbl>
    <w:p>
      <w:pPr>
        <w:pStyle w:val="Heading1"/>
        <w:spacing w:after="140" w:before="320"/>
      </w:pPr>
      <w:r>
        <w:rPr>
          <w:rFonts w:ascii="Calibri" w:cs="Calibri" w:eastAsia="Calibri" w:hAnsi="Calibri"/>
          <w:b/>
          <w:bCs/>
          <w:color w:val="003366"/>
          <w:sz w:val="30"/>
          <w:szCs w:val="30"/>
        </w:rPr>
        <w:t xml:space="preserve">Reflexion &amp; Transfer</w:t>
      </w:r>
    </w:p>
    <w:p>
      <w:pPr>
        <w:pStyle w:val="ListParagraph"/>
        <w:numPr>
          <w:ilvl w:val="0"/>
          <w:numId w:val="3"/>
        </w:numPr>
        <w:spacing w:after="80" w:line="270"/>
      </w:pPr>
      <w:r>
        <w:rPr>
          <w:rFonts w:ascii="Calibri" w:cs="Calibri" w:eastAsia="Calibri" w:hAnsi="Calibri"/>
          <w:color w:val="1A1A1A"/>
          <w:sz w:val="22"/>
          <w:szCs w:val="22"/>
        </w:rPr>
        <w:t xml:space="preserve">In A4 hatte e.euler auf der Freigabe Vollzugriff, kam aber trotzdem nicht an die Daten. Erklären Sie das über die beiden Berechtigungsebenen.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Der Netzwerkzugriff durchläuft Freigabe UND NTFS; wirksam ist die restriktivste. Auf der Freigabe zugelassen, per NTFS aber ohne Recht → kein Zugriff. NTFS ist die eigentliche Steuerung.</w:t>
            </w:r>
          </w:p>
        </w:tc>
      </w:tr>
    </w:tbl>
    <w:p>
      <w:pPr>
        <w:pStyle w:val="ListParagraph"/>
        <w:numPr>
          <w:ilvl w:val="0"/>
          <w:numId w:val="3"/>
        </w:numPr>
        <w:spacing w:after="80" w:line="270"/>
      </w:pPr>
      <w:r>
        <w:rPr>
          <w:rFonts w:ascii="Calibri" w:cs="Calibri" w:eastAsia="Calibri" w:hAnsi="Calibri"/>
          <w:color w:val="1A1A1A"/>
          <w:sz w:val="22"/>
          <w:szCs w:val="22"/>
        </w:rPr>
        <w:t xml:space="preserve">Warum hat in A2 die globale Gruppe das NTFS-Recht NICHT direkt bekommen, sondern erst über die domänenlokale Gruppe?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Das ist AGDLP: Permissions nur an Domain-Local-Gruppen. So bleiben Rechtevergabe (am Ordner) und Personenzuordnung (in der globalen Gruppe) getrennt und wartbar; neue Leute kommen nur in GG_Vertrieb.</w:t>
            </w:r>
          </w:p>
        </w:tc>
      </w:tr>
    </w:tbl>
    <w:p>
      <w:pPr>
        <w:pStyle w:val="ListParagraph"/>
        <w:numPr>
          <w:ilvl w:val="0"/>
          <w:numId w:val="3"/>
        </w:numPr>
        <w:spacing w:after="80" w:line="270"/>
      </w:pPr>
      <w:r>
        <w:rPr>
          <w:rFonts w:ascii="Calibri" w:cs="Calibri" w:eastAsia="Calibri" w:hAnsi="Calibri"/>
          <w:color w:val="1A1A1A"/>
          <w:sz w:val="22"/>
          <w:szCs w:val="22"/>
        </w:rPr>
        <w:t xml:space="preserve">Vergleichen Sie A3/A5 (NTFS) mit C1/C2 (POSIX+ACL): Wo stößt das reine POSIX-Modell an Grenzen, die NTFS und ACLs lösen?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POSIX kennt nur einen Besitzer und eine Gruppe — mehrere unterschiedlich berechtigte Gruppen (Vertrieb schreiben, Buchhaltung lesen) gehen erst mit erweiterten ACLs, in NTFS dagegen von Haus aus.</w:t>
            </w:r>
          </w:p>
        </w:tc>
      </w:tr>
    </w:tbl>
    <w:p>
      <w:pPr>
        <w:pStyle w:val="ListParagraph"/>
        <w:numPr>
          <w:ilvl w:val="0"/>
          <w:numId w:val="3"/>
        </w:numPr>
        <w:spacing w:after="80" w:line="270"/>
      </w:pPr>
      <w:r>
        <w:rPr>
          <w:rFonts w:ascii="Calibri" w:cs="Calibri" w:eastAsia="Calibri" w:hAnsi="Calibri"/>
          <w:color w:val="1A1A1A"/>
          <w:sz w:val="22"/>
          <w:szCs w:val="22"/>
        </w:rPr>
        <w:t xml:space="preserve">Ein „Verweigern“ für die Gruppe „Domänen-Benutzer“ wird auf den Ordner gesetzt. Welche Folge hat das — auch für Administratoren, die Mitglied dieser Gruppe sind?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E8F5E9" w:sz="1"/>
              <w:left w:val="single" w:color="E8F5E9" w:sz="1"/>
              <w:bottom w:val="single" w:color="E8F5E9" w:sz="1"/>
              <w:right w:val="single" w:color="E8F5E9" w:sz="1"/>
            </w:tcBorders>
            <w:shd w:fill="E8F5E9" w:val="clear"/>
            <w:tcMar>
              <w:top w:type="dxa" w:w="120"/>
              <w:left w:type="dxa" w:w="160"/>
              <w:bottom w:type="dxa" w:w="120"/>
              <w:right w:type="dxa" w:w="160"/>
            </w:tcMar>
          </w:tcPr>
          <w:p>
            <w:pPr>
              <w:spacing w:after="70"/>
            </w:pPr>
            <w:r>
              <w:rPr>
                <w:rFonts w:ascii="Calibri" w:cs="Calibri" w:eastAsia="Calibri" w:hAnsi="Calibri"/>
                <w:b/>
                <w:bCs/>
                <w:color w:val="2E7D32"/>
                <w:sz w:val="22"/>
                <w:szCs w:val="22"/>
              </w:rPr>
              <w:t xml:space="preserve">Musterlösung</w:t>
            </w:r>
          </w:p>
          <w:p>
            <w:pPr>
              <w:spacing w:after="60" w:line="264"/>
            </w:pPr>
            <w:r>
              <w:rPr>
                <w:rFonts w:ascii="Calibri" w:cs="Calibri" w:eastAsia="Calibri" w:hAnsi="Calibri"/>
                <w:color w:val="1A1A1A"/>
                <w:sz w:val="21"/>
                <w:szCs w:val="21"/>
              </w:rPr>
              <w:t xml:space="preserve">Verweigern schlägt jedes Erlauben. Alle Mitglieder von Domänen-Benutzer (faktisch fast alle, inkl. Admins) verlieren den Zugriff — ein klassischer Selbst-Aussperrer. Deny nur sehr gezielt einsetzen.</w:t>
            </w:r>
          </w:p>
        </w:tc>
      </w:tr>
    </w:tbl>
    <w:p>
      <w:pPr>
        <w:pStyle w:val="Heading1"/>
        <w:spacing w:after="140" w:before="320"/>
      </w:pPr>
      <w:r>
        <w:rPr>
          <w:rFonts w:ascii="Calibri" w:cs="Calibri" w:eastAsia="Calibri" w:hAnsi="Calibri"/>
          <w:b/>
          <w:bCs/>
          <w:color w:val="003366"/>
          <w:sz w:val="30"/>
          <w:szCs w:val="30"/>
        </w:rPr>
        <w:t xml:space="preserve">Abschluss-Checkliste</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Ordner + Freigabe Vertrieb angelegt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AGDLP: GG_Vertrieb in DL_Vertrieb_RW verschachtelt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NTFS „Ändern“ an DL_Vertrieb_RW vergeben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effektive Berechtigung getestet (m.mustermann ja, e.euler nein)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Vererbung im Unterordner Vertraulich unterbrochen</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Druckserver + freigegebener Drucker mit Gruppenrecht</w:t>
      </w:r>
    </w:p>
    <w:p>
      <w:pPr>
        <w:spacing w:after="70"/>
      </w:pPr>
      <w:r>
        <w:rPr>
          <w:rFonts w:ascii="Calibri" w:cs="Calibri" w:eastAsia="Calibri" w:hAnsi="Calibri"/>
          <w:color w:val="0066AA"/>
          <w:sz w:val="24"/>
          <w:szCs w:val="24"/>
        </w:rPr>
        <w:t xml:space="preserve">☐  </w:t>
      </w:r>
      <w:r>
        <w:rPr>
          <w:rFonts w:ascii="Calibri" w:cs="Calibri" w:eastAsia="Calibri" w:hAnsi="Calibri"/>
          <w:color w:val="1A1A1A"/>
          <w:sz w:val="22"/>
          <w:szCs w:val="22"/>
        </w:rPr>
        <w:t xml:space="preserve">Linux: 770 gesetzt, ACL für Buchhaltung, Samba-Freigabe läuft</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Etappe 3 · Lab-Leittext</w:t>
    </w:r>
    <w:r>
      <w:rPr>
        <w:rFonts w:ascii="Calibri" w:cs="Calibri" w:eastAsia="Calibri" w:hAnsi="Calibri"/>
        <w:b/>
        <w:bCs/>
        <w:color w:val="2E7D32"/>
        <w:sz w:val="16"/>
        <w:szCs w:val="16"/>
      </w:rPr>
      <w:t xml:space="preserve">	Dozenten-Lösungsheft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3 – Lab-Leittext (Dozenten-Lösungsheft)</dc:title>
  <dc:creator>[Vor- und Nachname]</dc:creator>
  <cp:lastModifiedBy>Un-named</cp:lastModifiedBy>
  <cp:revision>1</cp:revision>
  <dcterms:created xsi:type="dcterms:W3CDTF">2026-06-26T05:17:09.155Z</dcterms:created>
  <dcterms:modified xsi:type="dcterms:W3CDTF">2026-06-26T05:17:09.155Z</dcterms:modified>
</cp:coreProperties>
</file>

<file path=docProps/custom.xml><?xml version="1.0" encoding="utf-8"?>
<Properties xmlns="http://schemas.openxmlformats.org/officeDocument/2006/custom-properties" xmlns:vt="http://schemas.openxmlformats.org/officeDocument/2006/docPropsVTypes"/>
</file>