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40"/>
      </w:pPr>
      <w:r>
        <w:rPr>
          <w:rFonts w:ascii="Calibri" w:cs="Calibri" w:eastAsia="Calibri" w:hAnsi="Calibri"/>
          <w:b/>
          <w:bCs/>
          <w:color w:val="0066AA"/>
          <w:sz w:val="18"/>
          <w:szCs w:val="18"/>
        </w:rPr>
        <w:t xml:space="preserve">MODUL K · SERVERDIENSTE BEREITSTELLEN</w:t>
      </w:r>
    </w:p>
    <w:p>
      <w:pPr>
        <w:spacing w:after="40"/>
      </w:pPr>
      <w:r>
        <w:rPr>
          <w:rFonts w:ascii="Calibri" w:cs="Calibri" w:eastAsia="Calibri" w:hAnsi="Calibri"/>
          <w:b/>
          <w:bCs/>
          <w:color w:val="003366"/>
          <w:sz w:val="32"/>
          <w:szCs w:val="32"/>
        </w:rPr>
        <w:t xml:space="preserve">Handout — Etappe 3: Datei- &amp; Druckdienste, Rechteverwaltung</w:t>
      </w:r>
    </w:p>
    <w:p>
      <w:pPr>
        <w:pBdr>
          <w:bottom w:val="single" w:color="F0A500" w:sz="8" w:space="6"/>
        </w:pBdr>
        <w:spacing w:after="60"/>
      </w:pPr>
      <w:r>
        <w:rPr>
          <w:rFonts w:ascii="Calibri" w:cs="Calibri" w:eastAsia="Calibri" w:hAnsi="Calibri"/>
          <w:color w:val="5A6B7B"/>
          <w:sz w:val="23"/>
          <w:szCs w:val="23"/>
        </w:rPr>
        <w:t xml:space="preserve">NTFS &amp; Freigaben, AGDLP, POSIX-Rechte &amp; ACLs</w:t>
      </w:r>
    </w:p>
    <w:p>
      <w:pPr>
        <w:spacing w:after="120" w:line="276"/>
      </w:pPr>
      <w:r>
        <w:rPr>
          <w:rFonts w:ascii="Calibri" w:cs="Calibri" w:eastAsia="Calibri" w:hAnsi="Calibri"/>
          <w:color w:val="5A6B7B"/>
          <w:sz w:val="20"/>
          <w:szCs w:val="20"/>
        </w:rPr>
        <w:t xml:space="preserve">Lernfeld 10 (FISI) · Begleitmaterial zur Einstiegspräsentation mit dem ausführlichen Fließtext zu den Folien.</w:t>
      </w:r>
    </w:p>
    <w:p>
      <w:pPr>
        <w:pStyle w:val="Heading1"/>
        <w:spacing w:after="140" w:before="320"/>
      </w:pPr>
      <w:r>
        <w:rPr>
          <w:rFonts w:ascii="Calibri" w:cs="Calibri" w:eastAsia="Calibri" w:hAnsi="Calibri"/>
          <w:b/>
          <w:bCs/>
          <w:color w:val="003366"/>
          <w:sz w:val="30"/>
          <w:szCs w:val="30"/>
        </w:rPr>
        <w:t xml:space="preserve">Lernziele</w:t>
      </w:r>
    </w:p>
    <w:p>
      <w:pPr>
        <w:spacing w:after="120" w:line="276"/>
      </w:pPr>
      <w:r>
        <w:rPr>
          <w:rFonts w:ascii="Calibri" w:cs="Calibri" w:eastAsia="Calibri" w:hAnsi="Calibri"/>
          <w:color w:val="1A1A1A"/>
          <w:sz w:val="22"/>
          <w:szCs w:val="22"/>
        </w:rPr>
        <w:t xml:space="preserve">Nach dieser Etappe können Sie …</w:t>
      </w:r>
    </w:p>
    <w:p>
      <w:pPr>
        <w:pStyle w:val="ListParagraph"/>
        <w:numPr>
          <w:ilvl w:val="0"/>
          <w:numId w:val="2"/>
        </w:numPr>
        <w:spacing w:after="70" w:line="270"/>
      </w:pPr>
      <w:r>
        <w:rPr>
          <w:rFonts w:ascii="Calibri" w:cs="Calibri" w:eastAsia="Calibri" w:hAnsi="Calibri"/>
          <w:color w:val="1A1A1A"/>
          <w:sz w:val="22"/>
          <w:szCs w:val="22"/>
        </w:rPr>
        <w:t xml:space="preserve">eine SMB-Freigabe einrichten und Freigabe- von NTFS-Berechtigungen unterscheiden,</w:t>
      </w:r>
    </w:p>
    <w:p>
      <w:pPr>
        <w:pStyle w:val="ListParagraph"/>
        <w:numPr>
          <w:ilvl w:val="0"/>
          <w:numId w:val="2"/>
        </w:numPr>
        <w:spacing w:after="70" w:line="270"/>
      </w:pPr>
      <w:r>
        <w:rPr>
          <w:rFonts w:ascii="Calibri" w:cs="Calibri" w:eastAsia="Calibri" w:hAnsi="Calibri"/>
          <w:color w:val="1A1A1A"/>
          <w:sz w:val="22"/>
          <w:szCs w:val="22"/>
        </w:rPr>
        <w:t xml:space="preserve">die effektive Berechtigung aus beiden Ebenen sowie aus Vererbung und Verweigern bestimmen,</w:t>
      </w:r>
    </w:p>
    <w:p>
      <w:pPr>
        <w:pStyle w:val="ListParagraph"/>
        <w:numPr>
          <w:ilvl w:val="0"/>
          <w:numId w:val="2"/>
        </w:numPr>
        <w:spacing w:after="70" w:line="270"/>
      </w:pPr>
      <w:r>
        <w:rPr>
          <w:rFonts w:ascii="Calibri" w:cs="Calibri" w:eastAsia="Calibri" w:hAnsi="Calibri"/>
          <w:color w:val="1A1A1A"/>
          <w:sz w:val="22"/>
          <w:szCs w:val="22"/>
        </w:rPr>
        <w:t xml:space="preserve">Rechte nach dem AGDLP-Prinzip strukturiert und wartbar vergeben,</w:t>
      </w:r>
    </w:p>
    <w:p>
      <w:pPr>
        <w:pStyle w:val="ListParagraph"/>
        <w:numPr>
          <w:ilvl w:val="0"/>
          <w:numId w:val="2"/>
        </w:numPr>
        <w:spacing w:after="70" w:line="270"/>
      </w:pPr>
      <w:r>
        <w:rPr>
          <w:rFonts w:ascii="Calibri" w:cs="Calibri" w:eastAsia="Calibri" w:hAnsi="Calibri"/>
          <w:color w:val="1A1A1A"/>
          <w:sz w:val="22"/>
          <w:szCs w:val="22"/>
        </w:rPr>
        <w:t xml:space="preserve">einen Druckserver mit freigegebenem Drucker bereitstellen,</w:t>
      </w:r>
    </w:p>
    <w:p>
      <w:pPr>
        <w:pStyle w:val="ListParagraph"/>
        <w:numPr>
          <w:ilvl w:val="0"/>
          <w:numId w:val="2"/>
        </w:numPr>
        <w:spacing w:after="70" w:line="270"/>
      </w:pPr>
      <w:r>
        <w:rPr>
          <w:rFonts w:ascii="Calibri" w:cs="Calibri" w:eastAsia="Calibri" w:hAnsi="Calibri"/>
          <w:color w:val="1A1A1A"/>
          <w:sz w:val="22"/>
          <w:szCs w:val="22"/>
        </w:rPr>
        <w:t xml:space="preserve">POSIX-Rechte und erweiterte ACLs unter Linux setzen und mit NTFS vergleichen.</w:t>
      </w:r>
    </w:p>
    <w:p>
      <w:pPr>
        <w:pStyle w:val="Heading1"/>
        <w:spacing w:after="140" w:before="320"/>
      </w:pPr>
      <w:r>
        <w:rPr>
          <w:rFonts w:ascii="Calibri" w:cs="Calibri" w:eastAsia="Calibri" w:hAnsi="Calibri"/>
          <w:b/>
          <w:bCs/>
          <w:color w:val="003366"/>
          <w:sz w:val="30"/>
          <w:szCs w:val="30"/>
        </w:rPr>
        <w:t xml:space="preserve">1  Einführung: Wer darf was?</w:t>
      </w:r>
    </w:p>
    <w:p>
      <w:pPr>
        <w:spacing w:after="120" w:line="276"/>
      </w:pPr>
      <w:r>
        <w:rPr>
          <w:rFonts w:ascii="Calibri" w:cs="Calibri" w:eastAsia="Calibri" w:hAnsi="Calibri"/>
          <w:color w:val="1A1A1A"/>
          <w:sz w:val="22"/>
          <w:szCs w:val="22"/>
        </w:rPr>
        <w:t xml:space="preserve">Sobald sich mehrere Abteilungen einen Dateiserver teilen, wird die Rechtevergabe zur Kernaufgabe. Ohne ein klares System sieht jeder alles — auch sensible Daten wie Gehaltslisten — und Berechtigungen werden pro Person vergeben, was schnell unübersichtlich wird. Mit strukturierten Rechten wird der Zugriff über Gruppen nach Abteilung geregelt, sensible Daten sind sauber getrennt, und ein neuer Mitarbeiter muss nur noch in die passende Gruppe aufgenommen werden.</w:t>
      </w:r>
    </w:p>
    <w:p>
      <w:pPr>
        <w:pStyle w:val="Heading1"/>
        <w:spacing w:after="140" w:before="320"/>
      </w:pPr>
      <w:r>
        <w:rPr>
          <w:rFonts w:ascii="Calibri" w:cs="Calibri" w:eastAsia="Calibri" w:hAnsi="Calibri"/>
          <w:b/>
          <w:bCs/>
          <w:color w:val="003366"/>
          <w:sz w:val="30"/>
          <w:szCs w:val="30"/>
        </w:rPr>
        <w:t xml:space="preserve">2  Dateiserver &amp; Freigaben (SMB)</w:t>
      </w:r>
    </w:p>
    <w:p>
      <w:pPr>
        <w:spacing w:after="120" w:line="276"/>
      </w:pPr>
      <w:r>
        <w:rPr>
          <w:rFonts w:ascii="Calibri" w:cs="Calibri" w:eastAsia="Calibri" w:hAnsi="Calibri"/>
          <w:color w:val="1A1A1A"/>
          <w:sz w:val="22"/>
          <w:szCs w:val="22"/>
        </w:rPr>
        <w:t xml:space="preserve">Ein Dateiserver stellt zentrale Ordner im Netzwerk bereit. Der Zugriff erfolgt über das Protokoll </w:t>
      </w:r>
      <w:r>
        <w:rPr>
          <w:rFonts w:ascii="Calibri" w:cs="Calibri" w:eastAsia="Calibri" w:hAnsi="Calibri"/>
          <w:b/>
          <w:bCs/>
          <w:color w:val="1A1A1A"/>
          <w:sz w:val="22"/>
          <w:szCs w:val="22"/>
        </w:rPr>
        <w:t xml:space="preserve">SMB</w:t>
      </w:r>
      <w:r>
        <w:rPr>
          <w:rFonts w:ascii="Calibri" w:cs="Calibri" w:eastAsia="Calibri" w:hAnsi="Calibri"/>
          <w:color w:val="1A1A1A"/>
          <w:sz w:val="22"/>
          <w:szCs w:val="22"/>
        </w:rPr>
        <w:t xml:space="preserve"> (Server Message Block). Ein im Netz sichtbar gemachter Ordner heißt Freigabe (Share) und wird über einen UNC-Pfad der Form </w:t>
      </w:r>
      <w:r>
        <w:rPr>
          <w:rFonts w:ascii="Consolas" w:cs="Consolas" w:eastAsia="Consolas" w:hAnsi="Consolas"/>
          <w:color w:val="1A1A1A"/>
          <w:sz w:val="22"/>
          <w:szCs w:val="22"/>
        </w:rPr>
        <w:t xml:space="preserve">\\server\freigabe</w:t>
      </w:r>
      <w:r>
        <w:rPr>
          <w:rFonts w:ascii="Calibri" w:cs="Calibri" w:eastAsia="Calibri" w:hAnsi="Calibri"/>
          <w:color w:val="1A1A1A"/>
          <w:sz w:val="22"/>
          <w:szCs w:val="22"/>
        </w:rPr>
        <w:t xml:space="preserve"> angesprochen. Freigaben mit einem $ am Ende sind versteckt (z. B. das administrative Admin$).</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c>
          <w:tcPr>
            <w:tcW w:type="dxa" w:w="9026"/>
            <w:tcBorders>
              <w:top w:val="single" w:color="0A2540" w:sz="1"/>
              <w:left w:val="single" w:color="0A2540" w:sz="1"/>
              <w:bottom w:val="single" w:color="0A2540" w:sz="1"/>
              <w:right w:val="single" w:color="0A2540" w:sz="1"/>
            </w:tcBorders>
            <w:shd w:fill="0A2540" w:val="clear"/>
            <w:tcMar>
              <w:top w:type="dxa" w:w="120"/>
              <w:left w:type="dxa" w:w="160"/>
              <w:bottom w:type="dxa" w:w="120"/>
              <w:right w:type="dxa" w:w="160"/>
            </w:tcMar>
          </w:tcPr>
          <w:p>
            <w:pPr>
              <w:spacing w:after="0" w:line="250"/>
            </w:pPr>
            <w:r>
              <w:rPr>
                <w:rFonts w:ascii="Consolas" w:cs="Consolas" w:eastAsia="Consolas" w:hAnsi="Consolas"/>
                <w:color w:val="D6E4F0"/>
                <w:sz w:val="19"/>
                <w:szCs w:val="19"/>
              </w:rPr>
              <w:t xml:space="preserve"># Freigabe per PowerShell anlegen</w:t>
            </w:r>
          </w:p>
          <w:p>
            <w:pPr>
              <w:spacing w:after="0" w:line="250"/>
            </w:pPr>
            <w:r>
              <w:rPr>
                <w:rFonts w:ascii="Consolas" w:cs="Consolas" w:eastAsia="Consolas" w:hAnsi="Consolas"/>
                <w:color w:val="D6E4F0"/>
                <w:sz w:val="19"/>
                <w:szCs w:val="19"/>
              </w:rPr>
              <w:t xml:space="preserve">New-SmbShare -Name "Vertrieb" -Path "D:\Daten\Vertrieb" `</w:t>
            </w:r>
          </w:p>
          <w:p>
            <w:pPr>
              <w:spacing w:after="0" w:line="250"/>
            </w:pPr>
            <w:r>
              <w:rPr>
                <w:rFonts w:ascii="Consolas" w:cs="Consolas" w:eastAsia="Consolas" w:hAnsi="Consolas"/>
                <w:color w:val="D6E4F0"/>
                <w:sz w:val="19"/>
                <w:szCs w:val="19"/>
              </w:rPr>
              <w:t xml:space="preserve">  -FullAccess "Authentifizierte Benutzer"</w:t>
            </w:r>
          </w:p>
          <w:p>
            <w:pPr>
              <w:spacing w:after="0" w:line="250"/>
            </w:pPr>
            <w:r>
              <w:rPr>
                <w:rFonts w:ascii="Consolas" w:cs="Consolas" w:eastAsia="Consolas" w:hAnsi="Consolas"/>
                <w:color w:val="D6E4F0"/>
                <w:sz w:val="19"/>
                <w:szCs w:val="19"/>
              </w:rPr>
              <w:t xml:space="preserve"> </w:t>
            </w:r>
          </w:p>
          <w:p>
            <w:pPr>
              <w:spacing w:after="0" w:line="250"/>
            </w:pPr>
            <w:r>
              <w:rPr>
                <w:rFonts w:ascii="Consolas" w:cs="Consolas" w:eastAsia="Consolas" w:hAnsi="Consolas"/>
                <w:color w:val="D6E4F0"/>
                <w:sz w:val="19"/>
                <w:szCs w:val="19"/>
              </w:rPr>
              <w:t xml:space="preserve"># Aufruf am Client:   \\dc01\Vertrieb</w:t>
            </w:r>
          </w:p>
        </w:tc>
      </w:tr>
    </w:tbl>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c>
          <w:tcPr>
            <w:tcW w:type="dxa" w:w="9026"/>
            <w:tcBorders>
              <w:top w:val="single" w:color="D6E4F0" w:sz="1"/>
              <w:left w:val="single" w:color="D6E4F0" w:sz="1"/>
              <w:bottom w:val="single" w:color="D6E4F0" w:sz="1"/>
              <w:right w:val="single" w:color="D6E4F0" w:sz="1"/>
            </w:tcBorders>
            <w:shd w:fill="D6E4F0" w:val="clear"/>
            <w:tcMar>
              <w:top w:type="dxa" w:w="120"/>
              <w:left w:type="dxa" w:w="160"/>
              <w:bottom w:type="dxa" w:w="120"/>
              <w:right w:type="dxa" w:w="160"/>
            </w:tcMar>
          </w:tcPr>
          <w:p>
            <w:pPr>
              <w:spacing w:after="60"/>
            </w:pPr>
            <w:r>
              <w:rPr>
                <w:rFonts w:ascii="Calibri" w:cs="Calibri" w:eastAsia="Calibri" w:hAnsi="Calibri"/>
                <w:b/>
                <w:bCs/>
                <w:color w:val="003366"/>
                <w:sz w:val="22"/>
                <w:szCs w:val="22"/>
              </w:rPr>
              <w:t xml:space="preserve">Faustregel</w:t>
            </w:r>
          </w:p>
          <w:p>
            <w:pPr>
              <w:spacing w:after="40" w:line="264"/>
            </w:pPr>
            <w:r>
              <w:rPr>
                <w:rFonts w:ascii="Calibri" w:cs="Calibri" w:eastAsia="Calibri" w:hAnsi="Calibri"/>
                <w:color w:val="1A1A1A"/>
                <w:sz w:val="21"/>
                <w:szCs w:val="21"/>
              </w:rPr>
              <w:t xml:space="preserve">Die Freigabe regelt den Netzwerk-Zugang, NTFS regelt den eigentlichen Datei-Zugriff. Üblich ist daher eine großzügige Freigabeberechtigung, die dann über die NTFS-Rechte fein gesteuert wird.</w:t>
            </w:r>
          </w:p>
        </w:tc>
      </w:tr>
    </w:tbl>
    <w:p>
      <w:pPr>
        <w:pStyle w:val="Heading1"/>
        <w:spacing w:after="140" w:before="320"/>
      </w:pPr>
      <w:r>
        <w:rPr>
          <w:rFonts w:ascii="Calibri" w:cs="Calibri" w:eastAsia="Calibri" w:hAnsi="Calibri"/>
          <w:b/>
          <w:bCs/>
          <w:color w:val="003366"/>
          <w:sz w:val="30"/>
          <w:szCs w:val="30"/>
        </w:rPr>
        <w:t xml:space="preserve">3  Zwei Ebenen: Freigabe- vs. NTFS-Berechtigung</w:t>
      </w:r>
    </w:p>
    <w:p>
      <w:pPr>
        <w:spacing w:after="120" w:line="276"/>
      </w:pPr>
      <w:r>
        <w:rPr>
          <w:rFonts w:ascii="Calibri" w:cs="Calibri" w:eastAsia="Calibri" w:hAnsi="Calibri"/>
          <w:color w:val="1A1A1A"/>
          <w:sz w:val="22"/>
          <w:szCs w:val="22"/>
        </w:rPr>
        <w:t xml:space="preserve">Ein Netzwerkzugriff durchläuft zwei Berechtigungsebenen nacheinander: zuerst die Freigabeberechtigung, dann die NTFS-Berechtigung. Wirksam ist jeweils die restriktivste der beiden.</w:t>
      </w:r>
    </w:p>
    <w:p>
      <w:pPr>
        <w:pStyle w:val="Heading2"/>
        <w:spacing w:after="100" w:before="220"/>
      </w:pPr>
      <w:r>
        <w:rPr>
          <w:rFonts w:ascii="Calibri" w:cs="Calibri" w:eastAsia="Calibri" w:hAnsi="Calibri"/>
          <w:b/>
          <w:bCs/>
          <w:color w:val="0066AA"/>
          <w:sz w:val="25"/>
          <w:szCs w:val="25"/>
        </w:rPr>
        <w:t xml:space="preserve">Freigabeberechtigung</w:t>
      </w:r>
    </w:p>
    <w:p>
      <w:pPr>
        <w:spacing w:after="120" w:line="276"/>
      </w:pPr>
      <w:r>
        <w:rPr>
          <w:rFonts w:ascii="Calibri" w:cs="Calibri" w:eastAsia="Calibri" w:hAnsi="Calibri"/>
          <w:color w:val="1A1A1A"/>
          <w:sz w:val="22"/>
          <w:szCs w:val="22"/>
        </w:rPr>
        <w:t xml:space="preserve">Sie kennt nur drei Stufen — Lesen, Ändern und Vollzugriff — und gilt ausschließlich beim Zugriff über das Netzwerk, nicht bei lokaler Anmeldung am Server. Empfehlenswert ist, der Gruppe „Authentifizierte Benutzer“ auf der Freigabe Vollzugriff zu geben und die eigentliche Steuerung den NTFS-Rechten zu überlassen.</w:t>
      </w:r>
    </w:p>
    <w:p>
      <w:pPr>
        <w:pStyle w:val="Heading2"/>
        <w:spacing w:after="100" w:before="220"/>
      </w:pPr>
      <w:r>
        <w:rPr>
          <w:rFonts w:ascii="Calibri" w:cs="Calibri" w:eastAsia="Calibri" w:hAnsi="Calibri"/>
          <w:b/>
          <w:bCs/>
          <w:color w:val="0066AA"/>
          <w:sz w:val="25"/>
          <w:szCs w:val="25"/>
        </w:rPr>
        <w:t xml:space="preserve">NTFS-Berechtigung</w:t>
      </w:r>
    </w:p>
    <w:p>
      <w:pPr>
        <w:spacing w:after="120" w:line="276"/>
      </w:pPr>
      <w:r>
        <w:rPr>
          <w:rFonts w:ascii="Calibri" w:cs="Calibri" w:eastAsia="Calibri" w:hAnsi="Calibri"/>
          <w:color w:val="1A1A1A"/>
          <w:sz w:val="22"/>
          <w:szCs w:val="22"/>
        </w:rPr>
        <w:t xml:space="preserve">Sie ist fein granular, kennt viele Stufen und gilt sowohl lokal als auch über das Netzwerk. Sie ist damit die eigentliche Zugriffssteuerung.</w:t>
      </w:r>
    </w:p>
    <w:p>
      <w:pPr>
        <w:pStyle w:val="Heading1"/>
        <w:spacing w:after="140" w:before="320"/>
      </w:pPr>
      <w:r>
        <w:rPr>
          <w:rFonts w:ascii="Calibri" w:cs="Calibri" w:eastAsia="Calibri" w:hAnsi="Calibri"/>
          <w:b/>
          <w:bCs/>
          <w:color w:val="003366"/>
          <w:sz w:val="30"/>
          <w:szCs w:val="30"/>
        </w:rPr>
        <w:t xml:space="preserve">4  NTFS-Berechtigungen im Detail</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3000"/>
        <w:gridCol w:w="6026"/>
      </w:tblGrid>
      <w:tr>
        <w:trPr>
          <w:tblHeader/>
        </w:trPr>
        <w:tc>
          <w:tcPr>
            <w:tcW w:type="dxa" w:w="3000"/>
            <w:tcBorders>
              <w:top w:val="single" w:color="D6E4F0" w:sz="4"/>
              <w:left w:val="single" w:color="D6E4F0" w:sz="4"/>
              <w:bottom w:val="single" w:color="D6E4F0" w:sz="4"/>
              <w:right w:val="single" w:color="D6E4F0" w:sz="4"/>
            </w:tcBorders>
            <w:shd w:fill="003366" w:val="clear"/>
            <w:tcMar>
              <w:top w:type="dxa" w:w="80"/>
              <w:left w:type="dxa" w:w="120"/>
              <w:bottom w:type="dxa" w:w="80"/>
              <w:right w:type="dxa" w:w="120"/>
            </w:tcMar>
          </w:tcPr>
          <w:p>
            <w:r>
              <w:rPr>
                <w:rFonts w:ascii="Calibri" w:cs="Calibri" w:eastAsia="Calibri" w:hAnsi="Calibri"/>
                <w:b/>
                <w:bCs/>
                <w:color w:val="FFFFFF"/>
                <w:sz w:val="21"/>
                <w:szCs w:val="21"/>
              </w:rPr>
              <w:t xml:space="preserve">Berechtigung</w:t>
            </w:r>
          </w:p>
        </w:tc>
        <w:tc>
          <w:tcPr>
            <w:tcW w:type="dxa" w:w="6026"/>
            <w:tcBorders>
              <w:top w:val="single" w:color="D6E4F0" w:sz="4"/>
              <w:left w:val="single" w:color="D6E4F0" w:sz="4"/>
              <w:bottom w:val="single" w:color="D6E4F0" w:sz="4"/>
              <w:right w:val="single" w:color="D6E4F0" w:sz="4"/>
            </w:tcBorders>
            <w:shd w:fill="003366" w:val="clear"/>
            <w:tcMar>
              <w:top w:type="dxa" w:w="80"/>
              <w:left w:type="dxa" w:w="120"/>
              <w:bottom w:type="dxa" w:w="80"/>
              <w:right w:type="dxa" w:w="120"/>
            </w:tcMar>
          </w:tcPr>
          <w:p>
            <w:r>
              <w:rPr>
                <w:rFonts w:ascii="Calibri" w:cs="Calibri" w:eastAsia="Calibri" w:hAnsi="Calibri"/>
                <w:b/>
                <w:bCs/>
                <w:color w:val="FFFFFF"/>
                <w:sz w:val="21"/>
                <w:szCs w:val="21"/>
              </w:rPr>
              <w:t xml:space="preserve">Erlaubt typischerweise</w:t>
            </w:r>
          </w:p>
        </w:tc>
      </w:tr>
      <w:tr>
        <w:tc>
          <w:tcPr>
            <w:tcW w:type="dxa" w:w="3000"/>
            <w:tcBorders>
              <w:top w:val="single" w:color="D6E4F0" w:sz="4"/>
              <w:left w:val="single" w:color="D6E4F0" w:sz="4"/>
              <w:bottom w:val="single" w:color="D6E4F0" w:sz="4"/>
              <w:right w:val="single" w:color="D6E4F0" w:sz="4"/>
            </w:tcBorders>
            <w:shd w:fill="EEF5FB" w:val="clear"/>
            <w:tcMar>
              <w:top w:type="dxa" w:w="70"/>
              <w:left w:type="dxa" w:w="120"/>
              <w:bottom w:type="dxa" w:w="70"/>
              <w:right w:type="dxa" w:w="120"/>
            </w:tcMar>
          </w:tcPr>
          <w:p>
            <w:r>
              <w:rPr>
                <w:rFonts w:ascii="Calibri" w:cs="Calibri" w:eastAsia="Calibri" w:hAnsi="Calibri"/>
                <w:b/>
                <w:bCs/>
                <w:color w:val="1A1A1A"/>
                <w:sz w:val="20"/>
                <w:szCs w:val="20"/>
              </w:rPr>
              <w:t xml:space="preserve">Lesen</w:t>
            </w:r>
          </w:p>
        </w:tc>
        <w:tc>
          <w:tcPr>
            <w:tcW w:type="dxa" w:w="6026"/>
            <w:tcBorders>
              <w:top w:val="single" w:color="D6E4F0" w:sz="4"/>
              <w:left w:val="single" w:color="D6E4F0" w:sz="4"/>
              <w:bottom w:val="single" w:color="D6E4F0" w:sz="4"/>
              <w:right w:val="single" w:color="D6E4F0" w:sz="4"/>
            </w:tcBorders>
            <w:shd w:fill="EEF5FB" w:val="clear"/>
            <w:tcMar>
              <w:top w:type="dxa" w:w="70"/>
              <w:left w:type="dxa" w:w="120"/>
              <w:bottom w:type="dxa" w:w="70"/>
              <w:right w:type="dxa" w:w="120"/>
            </w:tcMar>
          </w:tcPr>
          <w:p>
            <w:r>
              <w:rPr>
                <w:rFonts w:ascii="Calibri" w:cs="Calibri" w:eastAsia="Calibri" w:hAnsi="Calibri"/>
                <w:b w:val="false"/>
                <w:bCs w:val="false"/>
                <w:color w:val="1A1A1A"/>
                <w:sz w:val="20"/>
                <w:szCs w:val="20"/>
              </w:rPr>
              <w:t xml:space="preserve">Inhalte und Eigenschaften ansehen</w:t>
            </w:r>
          </w:p>
        </w:tc>
      </w:tr>
      <w:tr>
        <w:tc>
          <w:tcPr>
            <w:tcW w:type="dxa" w:w="3000"/>
            <w:tcBorders>
              <w:top w:val="single" w:color="D6E4F0" w:sz="4"/>
              <w:left w:val="single" w:color="D6E4F0" w:sz="4"/>
              <w:bottom w:val="single" w:color="D6E4F0" w:sz="4"/>
              <w:right w:val="single" w:color="D6E4F0" w:sz="4"/>
            </w:tcBorders>
            <w:shd w:fill="FFFFFF" w:val="clear"/>
            <w:tcMar>
              <w:top w:type="dxa" w:w="70"/>
              <w:left w:type="dxa" w:w="120"/>
              <w:bottom w:type="dxa" w:w="70"/>
              <w:right w:type="dxa" w:w="120"/>
            </w:tcMar>
          </w:tcPr>
          <w:p>
            <w:r>
              <w:rPr>
                <w:rFonts w:ascii="Calibri" w:cs="Calibri" w:eastAsia="Calibri" w:hAnsi="Calibri"/>
                <w:b/>
                <w:bCs/>
                <w:color w:val="1A1A1A"/>
                <w:sz w:val="20"/>
                <w:szCs w:val="20"/>
              </w:rPr>
              <w:t xml:space="preserve">Lesen, Ausführen</w:t>
            </w:r>
          </w:p>
        </w:tc>
        <w:tc>
          <w:tcPr>
            <w:tcW w:type="dxa" w:w="6026"/>
            <w:tcBorders>
              <w:top w:val="single" w:color="D6E4F0" w:sz="4"/>
              <w:left w:val="single" w:color="D6E4F0" w:sz="4"/>
              <w:bottom w:val="single" w:color="D6E4F0" w:sz="4"/>
              <w:right w:val="single" w:color="D6E4F0" w:sz="4"/>
            </w:tcBorders>
            <w:shd w:fill="FFFFFF" w:val="clear"/>
            <w:tcMar>
              <w:top w:type="dxa" w:w="70"/>
              <w:left w:type="dxa" w:w="120"/>
              <w:bottom w:type="dxa" w:w="70"/>
              <w:right w:type="dxa" w:w="120"/>
            </w:tcMar>
          </w:tcPr>
          <w:p>
            <w:r>
              <w:rPr>
                <w:rFonts w:ascii="Calibri" w:cs="Calibri" w:eastAsia="Calibri" w:hAnsi="Calibri"/>
                <w:b w:val="false"/>
                <w:bCs w:val="false"/>
                <w:color w:val="1A1A1A"/>
                <w:sz w:val="20"/>
                <w:szCs w:val="20"/>
              </w:rPr>
              <w:t xml:space="preserve">zusätzlich Programme starten</w:t>
            </w:r>
          </w:p>
        </w:tc>
      </w:tr>
      <w:tr>
        <w:tc>
          <w:tcPr>
            <w:tcW w:type="dxa" w:w="3000"/>
            <w:tcBorders>
              <w:top w:val="single" w:color="D6E4F0" w:sz="4"/>
              <w:left w:val="single" w:color="D6E4F0" w:sz="4"/>
              <w:bottom w:val="single" w:color="D6E4F0" w:sz="4"/>
              <w:right w:val="single" w:color="D6E4F0" w:sz="4"/>
            </w:tcBorders>
            <w:shd w:fill="EEF5FB" w:val="clear"/>
            <w:tcMar>
              <w:top w:type="dxa" w:w="70"/>
              <w:left w:type="dxa" w:w="120"/>
              <w:bottom w:type="dxa" w:w="70"/>
              <w:right w:type="dxa" w:w="120"/>
            </w:tcMar>
          </w:tcPr>
          <w:p>
            <w:r>
              <w:rPr>
                <w:rFonts w:ascii="Calibri" w:cs="Calibri" w:eastAsia="Calibri" w:hAnsi="Calibri"/>
                <w:b/>
                <w:bCs/>
                <w:color w:val="1A1A1A"/>
                <w:sz w:val="20"/>
                <w:szCs w:val="20"/>
              </w:rPr>
              <w:t xml:space="preserve">Schreiben</w:t>
            </w:r>
          </w:p>
        </w:tc>
        <w:tc>
          <w:tcPr>
            <w:tcW w:type="dxa" w:w="6026"/>
            <w:tcBorders>
              <w:top w:val="single" w:color="D6E4F0" w:sz="4"/>
              <w:left w:val="single" w:color="D6E4F0" w:sz="4"/>
              <w:bottom w:val="single" w:color="D6E4F0" w:sz="4"/>
              <w:right w:val="single" w:color="D6E4F0" w:sz="4"/>
            </w:tcBorders>
            <w:shd w:fill="EEF5FB" w:val="clear"/>
            <w:tcMar>
              <w:top w:type="dxa" w:w="70"/>
              <w:left w:type="dxa" w:w="120"/>
              <w:bottom w:type="dxa" w:w="70"/>
              <w:right w:type="dxa" w:w="120"/>
            </w:tcMar>
          </w:tcPr>
          <w:p>
            <w:r>
              <w:rPr>
                <w:rFonts w:ascii="Calibri" w:cs="Calibri" w:eastAsia="Calibri" w:hAnsi="Calibri"/>
                <w:b w:val="false"/>
                <w:bCs w:val="false"/>
                <w:color w:val="1A1A1A"/>
                <w:sz w:val="20"/>
                <w:szCs w:val="20"/>
              </w:rPr>
              <w:t xml:space="preserve">Dateien erstellen und ändern</w:t>
            </w:r>
          </w:p>
        </w:tc>
      </w:tr>
      <w:tr>
        <w:tc>
          <w:tcPr>
            <w:tcW w:type="dxa" w:w="3000"/>
            <w:tcBorders>
              <w:top w:val="single" w:color="D6E4F0" w:sz="4"/>
              <w:left w:val="single" w:color="D6E4F0" w:sz="4"/>
              <w:bottom w:val="single" w:color="D6E4F0" w:sz="4"/>
              <w:right w:val="single" w:color="D6E4F0" w:sz="4"/>
            </w:tcBorders>
            <w:shd w:fill="FFFFFF" w:val="clear"/>
            <w:tcMar>
              <w:top w:type="dxa" w:w="70"/>
              <w:left w:type="dxa" w:w="120"/>
              <w:bottom w:type="dxa" w:w="70"/>
              <w:right w:type="dxa" w:w="120"/>
            </w:tcMar>
          </w:tcPr>
          <w:p>
            <w:r>
              <w:rPr>
                <w:rFonts w:ascii="Calibri" w:cs="Calibri" w:eastAsia="Calibri" w:hAnsi="Calibri"/>
                <w:b/>
                <w:bCs/>
                <w:color w:val="1A1A1A"/>
                <w:sz w:val="20"/>
                <w:szCs w:val="20"/>
              </w:rPr>
              <w:t xml:space="preserve">Ändern</w:t>
            </w:r>
          </w:p>
        </w:tc>
        <w:tc>
          <w:tcPr>
            <w:tcW w:type="dxa" w:w="6026"/>
            <w:tcBorders>
              <w:top w:val="single" w:color="D6E4F0" w:sz="4"/>
              <w:left w:val="single" w:color="D6E4F0" w:sz="4"/>
              <w:bottom w:val="single" w:color="D6E4F0" w:sz="4"/>
              <w:right w:val="single" w:color="D6E4F0" w:sz="4"/>
            </w:tcBorders>
            <w:shd w:fill="FFFFFF" w:val="clear"/>
            <w:tcMar>
              <w:top w:type="dxa" w:w="70"/>
              <w:left w:type="dxa" w:w="120"/>
              <w:bottom w:type="dxa" w:w="70"/>
              <w:right w:type="dxa" w:w="120"/>
            </w:tcMar>
          </w:tcPr>
          <w:p>
            <w:r>
              <w:rPr>
                <w:rFonts w:ascii="Calibri" w:cs="Calibri" w:eastAsia="Calibri" w:hAnsi="Calibri"/>
                <w:b w:val="false"/>
                <w:bCs w:val="false"/>
                <w:color w:val="1A1A1A"/>
                <w:sz w:val="20"/>
                <w:szCs w:val="20"/>
              </w:rPr>
              <w:t xml:space="preserve">Lesen + Schreiben + Löschen</w:t>
            </w:r>
          </w:p>
        </w:tc>
      </w:tr>
      <w:tr>
        <w:tc>
          <w:tcPr>
            <w:tcW w:type="dxa" w:w="3000"/>
            <w:tcBorders>
              <w:top w:val="single" w:color="D6E4F0" w:sz="4"/>
              <w:left w:val="single" w:color="D6E4F0" w:sz="4"/>
              <w:bottom w:val="single" w:color="D6E4F0" w:sz="4"/>
              <w:right w:val="single" w:color="D6E4F0" w:sz="4"/>
            </w:tcBorders>
            <w:shd w:fill="EEF5FB" w:val="clear"/>
            <w:tcMar>
              <w:top w:type="dxa" w:w="70"/>
              <w:left w:type="dxa" w:w="120"/>
              <w:bottom w:type="dxa" w:w="70"/>
              <w:right w:type="dxa" w:w="120"/>
            </w:tcMar>
          </w:tcPr>
          <w:p>
            <w:r>
              <w:rPr>
                <w:rFonts w:ascii="Calibri" w:cs="Calibri" w:eastAsia="Calibri" w:hAnsi="Calibri"/>
                <w:b/>
                <w:bCs/>
                <w:color w:val="1A1A1A"/>
                <w:sz w:val="20"/>
                <w:szCs w:val="20"/>
              </w:rPr>
              <w:t xml:space="preserve">Vollzugriff</w:t>
            </w:r>
          </w:p>
        </w:tc>
        <w:tc>
          <w:tcPr>
            <w:tcW w:type="dxa" w:w="6026"/>
            <w:tcBorders>
              <w:top w:val="single" w:color="D6E4F0" w:sz="4"/>
              <w:left w:val="single" w:color="D6E4F0" w:sz="4"/>
              <w:bottom w:val="single" w:color="D6E4F0" w:sz="4"/>
              <w:right w:val="single" w:color="D6E4F0" w:sz="4"/>
            </w:tcBorders>
            <w:shd w:fill="EEF5FB" w:val="clear"/>
            <w:tcMar>
              <w:top w:type="dxa" w:w="70"/>
              <w:left w:type="dxa" w:w="120"/>
              <w:bottom w:type="dxa" w:w="70"/>
              <w:right w:type="dxa" w:w="120"/>
            </w:tcMar>
          </w:tcPr>
          <w:p>
            <w:r>
              <w:rPr>
                <w:rFonts w:ascii="Calibri" w:cs="Calibri" w:eastAsia="Calibri" w:hAnsi="Calibri"/>
                <w:b w:val="false"/>
                <w:bCs w:val="false"/>
                <w:color w:val="1A1A1A"/>
                <w:sz w:val="20"/>
                <w:szCs w:val="20"/>
              </w:rPr>
              <w:t xml:space="preserve">alles, inkl. Berechtigungen und Besitz ändern</w:t>
            </w:r>
          </w:p>
        </w:tc>
      </w:tr>
    </w:tbl>
    <w:p>
      <w:pPr>
        <w:spacing w:after="60"/>
      </w:pPr>
    </w:p>
    <w:p>
      <w:pPr>
        <w:spacing w:after="120" w:line="276"/>
      </w:pPr>
      <w:r>
        <w:rPr>
          <w:rFonts w:ascii="Calibri" w:cs="Calibri" w:eastAsia="Calibri" w:hAnsi="Calibri"/>
          <w:color w:val="1A1A1A"/>
          <w:sz w:val="22"/>
          <w:szCs w:val="22"/>
        </w:rPr>
        <w:t xml:space="preserve">Wichtig: Berechtigungen werden immer an Gruppen vergeben, nie an einzelne Personen. Die erlaubten Rechte mehrerer Gruppen summieren sich (Kumulation). In der Praxis genügt meist „Ändern“; „Vollzugriff“ sollte sparsam eingesetzt werden, da er auch das Ändern von Berechtigungen erlaubt.</w:t>
      </w:r>
    </w:p>
    <w:p>
      <w:pPr>
        <w:pStyle w:val="Heading1"/>
        <w:spacing w:after="140" w:before="320"/>
      </w:pPr>
      <w:r>
        <w:rPr>
          <w:rFonts w:ascii="Calibri" w:cs="Calibri" w:eastAsia="Calibri" w:hAnsi="Calibri"/>
          <w:b/>
          <w:bCs/>
          <w:color w:val="003366"/>
          <w:sz w:val="30"/>
          <w:szCs w:val="30"/>
        </w:rPr>
        <w:t xml:space="preserve">5  Vererbung &amp; Verweigern</w:t>
      </w:r>
    </w:p>
    <w:p>
      <w:pPr>
        <w:spacing w:after="120" w:line="276"/>
      </w:pPr>
      <w:r>
        <w:rPr>
          <w:rFonts w:ascii="Calibri" w:cs="Calibri" w:eastAsia="Calibri" w:hAnsi="Calibri"/>
          <w:color w:val="1A1A1A"/>
          <w:sz w:val="22"/>
          <w:szCs w:val="22"/>
        </w:rPr>
        <w:t xml:space="preserve">NTFS-Rechte eines Ordners gelten durch Vererbung automatisch für dessen Unterordner und Dateien. Die Vererbung lässt sich an einer Stelle unterbrechen, etwa für einen besonders sensiblen Unterordner. Geerbte Rechte erscheinen in der Oberfläche ausgegraut, explizit gesetzte Rechte direkt.</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c>
          <w:tcPr>
            <w:tcW w:type="dxa" w:w="9026"/>
            <w:tcBorders>
              <w:top w:val="single" w:color="D6E4F0" w:sz="1"/>
              <w:left w:val="single" w:color="D6E4F0" w:sz="1"/>
              <w:bottom w:val="single" w:color="D6E4F0" w:sz="1"/>
              <w:right w:val="single" w:color="D6E4F0" w:sz="1"/>
            </w:tcBorders>
            <w:shd w:fill="D6E4F0" w:val="clear"/>
            <w:tcMar>
              <w:top w:type="dxa" w:w="120"/>
              <w:left w:type="dxa" w:w="160"/>
              <w:bottom w:type="dxa" w:w="120"/>
              <w:right w:type="dxa" w:w="160"/>
            </w:tcMar>
          </w:tcPr>
          <w:p>
            <w:pPr>
              <w:spacing w:after="60"/>
            </w:pPr>
            <w:r>
              <w:rPr>
                <w:rFonts w:ascii="Calibri" w:cs="Calibri" w:eastAsia="Calibri" w:hAnsi="Calibri"/>
                <w:b/>
                <w:bCs/>
                <w:color w:val="003366"/>
                <w:sz w:val="22"/>
                <w:szCs w:val="22"/>
              </w:rPr>
              <w:t xml:space="preserve">Zwei Grundregeln</w:t>
            </w:r>
          </w:p>
          <w:p>
            <w:pPr>
              <w:spacing w:after="40" w:line="264"/>
            </w:pPr>
            <w:r>
              <w:rPr>
                <w:rFonts w:ascii="Calibri" w:cs="Calibri" w:eastAsia="Calibri" w:hAnsi="Calibri"/>
                <w:color w:val="1A1A1A"/>
                <w:sz w:val="21"/>
                <w:szCs w:val="21"/>
              </w:rPr>
              <w:t xml:space="preserve">1. Verweigern (Deny) schlägt Erlauben (Allow) — immer. Ein einziges Verweigern setzt sich gegen beliebig viele Erlauben durch.</w:t>
            </w:r>
          </w:p>
          <w:p>
            <w:pPr>
              <w:spacing w:after="40" w:line="264"/>
            </w:pPr>
            <w:r>
              <w:rPr>
                <w:rFonts w:ascii="Calibri" w:cs="Calibri" w:eastAsia="Calibri" w:hAnsi="Calibri"/>
                <w:color w:val="1A1A1A"/>
                <w:sz w:val="21"/>
                <w:szCs w:val="21"/>
              </w:rPr>
              <w:t xml:space="preserve">2. Ein explizit gesetztes Recht schlägt ein geerbtes Recht gleicher Art.</w:t>
            </w:r>
          </w:p>
        </w:tc>
      </w:tr>
    </w:tbl>
    <w:p>
      <w:pPr>
        <w:spacing w:after="60"/>
      </w:pPr>
    </w:p>
    <w:p>
      <w:pPr>
        <w:spacing w:after="120" w:line="276"/>
      </w:pPr>
      <w:r>
        <w:rPr>
          <w:rFonts w:ascii="Calibri" w:cs="Calibri" w:eastAsia="Calibri" w:hAnsi="Calibri"/>
          <w:color w:val="1A1A1A"/>
          <w:sz w:val="22"/>
          <w:szCs w:val="22"/>
        </w:rPr>
        <w:t xml:space="preserve">Die effektive Berechtigung ergibt sich somit in dieser Reihenfolge: Greift ein Verweigern, ist der Zugriff gesperrt. Andernfalls gilt die restriktivste Kombination aus Freigabe- und NTFS-Recht, darin die Summe der erlaubten Gruppenrechte, wobei explizite vor geerbten Rechten stehen.</w:t>
      </w:r>
    </w:p>
    <w:p>
      <w:pPr>
        <w:pStyle w:val="Heading1"/>
        <w:spacing w:after="140" w:before="320"/>
      </w:pPr>
      <w:r>
        <w:rPr>
          <w:rFonts w:ascii="Calibri" w:cs="Calibri" w:eastAsia="Calibri" w:hAnsi="Calibri"/>
          <w:b/>
          <w:bCs/>
          <w:color w:val="003366"/>
          <w:sz w:val="30"/>
          <w:szCs w:val="30"/>
        </w:rPr>
        <w:t xml:space="preserve">6  AGDLP — Rechte sauber vergeben</w:t>
      </w:r>
    </w:p>
    <w:p>
      <w:pPr>
        <w:spacing w:after="120" w:line="276"/>
      </w:pPr>
      <w:r>
        <w:rPr>
          <w:rFonts w:ascii="Calibri" w:cs="Calibri" w:eastAsia="Calibri" w:hAnsi="Calibri"/>
          <w:color w:val="1A1A1A"/>
          <w:sz w:val="22"/>
          <w:szCs w:val="22"/>
        </w:rPr>
        <w:t xml:space="preserve">AGDLP ist die empfohlene Methode, um Rechte in Active Directory wartbar zu vergeben. Die Buchstaben beschreiben eine Kette:</w:t>
      </w:r>
    </w:p>
    <w:p>
      <w:pPr>
        <w:pStyle w:val="ListParagraph"/>
        <w:numPr>
          <w:ilvl w:val="0"/>
          <w:numId w:val="2"/>
        </w:numPr>
        <w:spacing w:after="70" w:line="270"/>
      </w:pPr>
      <w:r>
        <w:rPr>
          <w:rFonts w:ascii="Calibri" w:cs="Calibri" w:eastAsia="Calibri" w:hAnsi="Calibri"/>
          <w:b/>
          <w:bCs/>
          <w:color w:val="1A1A1A"/>
          <w:sz w:val="22"/>
          <w:szCs w:val="22"/>
        </w:rPr>
        <w:t xml:space="preserve">A — Account: </w:t>
      </w:r>
      <w:r>
        <w:rPr>
          <w:rFonts w:ascii="Calibri" w:cs="Calibri" w:eastAsia="Calibri" w:hAnsi="Calibri"/>
          <w:color w:val="1A1A1A"/>
          <w:sz w:val="22"/>
          <w:szCs w:val="22"/>
        </w:rPr>
        <w:t xml:space="preserve">das Benutzerkonto.</w:t>
      </w:r>
    </w:p>
    <w:p>
      <w:pPr>
        <w:pStyle w:val="ListParagraph"/>
        <w:numPr>
          <w:ilvl w:val="0"/>
          <w:numId w:val="2"/>
        </w:numPr>
        <w:spacing w:after="70" w:line="270"/>
      </w:pPr>
      <w:r>
        <w:rPr>
          <w:rFonts w:ascii="Calibri" w:cs="Calibri" w:eastAsia="Calibri" w:hAnsi="Calibri"/>
          <w:b/>
          <w:bCs/>
          <w:color w:val="1A1A1A"/>
          <w:sz w:val="22"/>
          <w:szCs w:val="22"/>
        </w:rPr>
        <w:t xml:space="preserve">G — Global Group: </w:t>
      </w:r>
      <w:r>
        <w:rPr>
          <w:rFonts w:ascii="Calibri" w:cs="Calibri" w:eastAsia="Calibri" w:hAnsi="Calibri"/>
          <w:color w:val="1A1A1A"/>
          <w:sz w:val="22"/>
          <w:szCs w:val="22"/>
        </w:rPr>
        <w:t xml:space="preserve">Konten werden in globale Gruppen aufgenommen (z. B. GG_Vertrieb).</w:t>
      </w:r>
    </w:p>
    <w:p>
      <w:pPr>
        <w:pStyle w:val="ListParagraph"/>
        <w:numPr>
          <w:ilvl w:val="0"/>
          <w:numId w:val="2"/>
        </w:numPr>
        <w:spacing w:after="70" w:line="270"/>
      </w:pPr>
      <w:r>
        <w:rPr>
          <w:rFonts w:ascii="Calibri" w:cs="Calibri" w:eastAsia="Calibri" w:hAnsi="Calibri"/>
          <w:b/>
          <w:bCs/>
          <w:color w:val="1A1A1A"/>
          <w:sz w:val="22"/>
          <w:szCs w:val="22"/>
        </w:rPr>
        <w:t xml:space="preserve">DL — Domain Local Group: </w:t>
      </w:r>
      <w:r>
        <w:rPr>
          <w:rFonts w:ascii="Calibri" w:cs="Calibri" w:eastAsia="Calibri" w:hAnsi="Calibri"/>
          <w:color w:val="1A1A1A"/>
          <w:sz w:val="22"/>
          <w:szCs w:val="22"/>
        </w:rPr>
        <w:t xml:space="preserve">globale Gruppen werden in domänenlokale Gruppen aufgenommen (z. B. DL_Vertrieb_RW).</w:t>
      </w:r>
    </w:p>
    <w:p>
      <w:pPr>
        <w:pStyle w:val="ListParagraph"/>
        <w:numPr>
          <w:ilvl w:val="0"/>
          <w:numId w:val="2"/>
        </w:numPr>
        <w:spacing w:after="70" w:line="270"/>
      </w:pPr>
      <w:r>
        <w:rPr>
          <w:rFonts w:ascii="Calibri" w:cs="Calibri" w:eastAsia="Calibri" w:hAnsi="Calibri"/>
          <w:b/>
          <w:bCs/>
          <w:color w:val="1A1A1A"/>
          <w:sz w:val="22"/>
          <w:szCs w:val="22"/>
        </w:rPr>
        <w:t xml:space="preserve">P — Permission: </w:t>
      </w:r>
      <w:r>
        <w:rPr>
          <w:rFonts w:ascii="Calibri" w:cs="Calibri" w:eastAsia="Calibri" w:hAnsi="Calibri"/>
          <w:color w:val="1A1A1A"/>
          <w:sz w:val="22"/>
          <w:szCs w:val="22"/>
        </w:rPr>
        <w:t xml:space="preserve">nur der domänenlokalen Gruppe wird die Berechtigung am Ordner zugewiesen (z. B. Ändern).</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c>
          <w:tcPr>
            <w:tcW w:type="dxa" w:w="9026"/>
            <w:tcBorders>
              <w:top w:val="single" w:color="D6E4F0" w:sz="1"/>
              <w:left w:val="single" w:color="D6E4F0" w:sz="1"/>
              <w:bottom w:val="single" w:color="D6E4F0" w:sz="1"/>
              <w:right w:val="single" w:color="D6E4F0" w:sz="1"/>
            </w:tcBorders>
            <w:shd w:fill="D6E4F0" w:val="clear"/>
            <w:tcMar>
              <w:top w:type="dxa" w:w="120"/>
              <w:left w:type="dxa" w:w="160"/>
              <w:bottom w:type="dxa" w:w="120"/>
              <w:right w:type="dxa" w:w="160"/>
            </w:tcMar>
          </w:tcPr>
          <w:p>
            <w:pPr>
              <w:spacing w:after="60"/>
            </w:pPr>
            <w:r>
              <w:rPr>
                <w:rFonts w:ascii="Calibri" w:cs="Calibri" w:eastAsia="Calibri" w:hAnsi="Calibri"/>
                <w:b/>
                <w:bCs/>
                <w:color w:val="003366"/>
                <w:sz w:val="22"/>
                <w:szCs w:val="22"/>
              </w:rPr>
              <w:t xml:space="preserve">Warum dieser Umweg?</w:t>
            </w:r>
          </w:p>
          <w:p>
            <w:pPr>
              <w:spacing w:after="40" w:line="264"/>
            </w:pPr>
            <w:r>
              <w:rPr>
                <w:rFonts w:ascii="Calibri" w:cs="Calibri" w:eastAsia="Calibri" w:hAnsi="Calibri"/>
                <w:color w:val="1A1A1A"/>
                <w:sz w:val="21"/>
                <w:szCs w:val="21"/>
              </w:rPr>
              <w:t xml:space="preserve">Neue Mitarbeitende kommen nur in die globale Gruppe — die Rechte am Ordner müssen nie wieder angefasst werden. Das hält die Vergabe wartbar, nachvollziehbar und revisionssicher und vermeidet den Wildwuchs aus Einzelberechtigungen.</w:t>
            </w:r>
          </w:p>
        </w:tc>
      </w:tr>
    </w:tbl>
    <w:p>
      <w:pPr>
        <w:pStyle w:val="Heading1"/>
        <w:spacing w:after="140" w:before="320"/>
      </w:pPr>
      <w:r>
        <w:rPr>
          <w:rFonts w:ascii="Calibri" w:cs="Calibri" w:eastAsia="Calibri" w:hAnsi="Calibri"/>
          <w:b/>
          <w:bCs/>
          <w:color w:val="003366"/>
          <w:sz w:val="30"/>
          <w:szCs w:val="30"/>
        </w:rPr>
        <w:t xml:space="preserve">7  Druckdienste</w:t>
      </w:r>
    </w:p>
    <w:p>
      <w:pPr>
        <w:spacing w:after="120" w:line="276"/>
      </w:pPr>
      <w:r>
        <w:rPr>
          <w:rFonts w:ascii="Calibri" w:cs="Calibri" w:eastAsia="Calibri" w:hAnsi="Calibri"/>
          <w:color w:val="1A1A1A"/>
          <w:sz w:val="22"/>
          <w:szCs w:val="22"/>
        </w:rPr>
        <w:t xml:space="preserve">Ein Druckserver verwaltet Drucker zentral im Netzwerk. Die Druckwarteschlange (Spooler) nimmt Aufträge an und reiht sie ein. Treiber werden zentral bereitgestellt, sodass Clients sie automatisch beziehen. Der Drucker wird freigegeben und — wie Dateien — über Gruppen berechtigt. Die drei Druckerberechtigungen lauten Drucken, Drucker verwalten und Dokumente verwalten. Der Vorteil eines zentralen Druckservers: ein einheitlicher Treiberstand für alle, eine zentral steuerbare Warteschlange und eine über Gruppen geregelte Nutzung.</w:t>
      </w:r>
    </w:p>
    <w:p>
      <w:pPr>
        <w:pStyle w:val="Heading1"/>
        <w:spacing w:after="140" w:before="320"/>
      </w:pPr>
      <w:r>
        <w:rPr>
          <w:rFonts w:ascii="Calibri" w:cs="Calibri" w:eastAsia="Calibri" w:hAnsi="Calibri"/>
          <w:b/>
          <w:bCs/>
          <w:color w:val="003366"/>
          <w:sz w:val="30"/>
          <w:szCs w:val="30"/>
        </w:rPr>
        <w:t xml:space="preserve">8  Linux: POSIX-Rechte (rwx)</w:t>
      </w:r>
    </w:p>
    <w:p>
      <w:pPr>
        <w:spacing w:after="120" w:line="276"/>
      </w:pPr>
      <w:r>
        <w:rPr>
          <w:rFonts w:ascii="Calibri" w:cs="Calibri" w:eastAsia="Calibri" w:hAnsi="Calibri"/>
          <w:color w:val="1A1A1A"/>
          <w:sz w:val="22"/>
          <w:szCs w:val="22"/>
        </w:rPr>
        <w:t xml:space="preserve">Das klassische Linux-Rechtemodell kennt drei Rechte — r (read), w (write), x (execute) — für drei Klassen: u (Besitzer), g (Gruppe) und o (andere). Geändert werden Rechte mit chmod, der Besitzer mit chown. Numerisch gilt r=4, w=2, x=1; je Klasse wird summiert.</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1400"/>
        <w:gridCol w:w="2400"/>
        <w:gridCol w:w="5226"/>
      </w:tblGrid>
      <w:tr>
        <w:trPr>
          <w:tblHeader/>
        </w:trPr>
        <w:tc>
          <w:tcPr>
            <w:tcW w:type="dxa" w:w="1400"/>
            <w:tcBorders>
              <w:top w:val="single" w:color="D6E4F0" w:sz="4"/>
              <w:left w:val="single" w:color="D6E4F0" w:sz="4"/>
              <w:bottom w:val="single" w:color="D6E4F0" w:sz="4"/>
              <w:right w:val="single" w:color="D6E4F0" w:sz="4"/>
            </w:tcBorders>
            <w:shd w:fill="003366" w:val="clear"/>
            <w:tcMar>
              <w:top w:type="dxa" w:w="80"/>
              <w:left w:type="dxa" w:w="120"/>
              <w:bottom w:type="dxa" w:w="80"/>
              <w:right w:type="dxa" w:w="120"/>
            </w:tcMar>
          </w:tcPr>
          <w:p>
            <w:r>
              <w:rPr>
                <w:rFonts w:ascii="Calibri" w:cs="Calibri" w:eastAsia="Calibri" w:hAnsi="Calibri"/>
                <w:b/>
                <w:bCs/>
                <w:color w:val="FFFFFF"/>
                <w:sz w:val="21"/>
                <w:szCs w:val="21"/>
              </w:rPr>
              <w:t xml:space="preserve">Oktal</w:t>
            </w:r>
          </w:p>
        </w:tc>
        <w:tc>
          <w:tcPr>
            <w:tcW w:type="dxa" w:w="2400"/>
            <w:tcBorders>
              <w:top w:val="single" w:color="D6E4F0" w:sz="4"/>
              <w:left w:val="single" w:color="D6E4F0" w:sz="4"/>
              <w:bottom w:val="single" w:color="D6E4F0" w:sz="4"/>
              <w:right w:val="single" w:color="D6E4F0" w:sz="4"/>
            </w:tcBorders>
            <w:shd w:fill="003366" w:val="clear"/>
            <w:tcMar>
              <w:top w:type="dxa" w:w="80"/>
              <w:left w:type="dxa" w:w="120"/>
              <w:bottom w:type="dxa" w:w="80"/>
              <w:right w:type="dxa" w:w="120"/>
            </w:tcMar>
          </w:tcPr>
          <w:p>
            <w:r>
              <w:rPr>
                <w:rFonts w:ascii="Calibri" w:cs="Calibri" w:eastAsia="Calibri" w:hAnsi="Calibri"/>
                <w:b/>
                <w:bCs/>
                <w:color w:val="FFFFFF"/>
                <w:sz w:val="21"/>
                <w:szCs w:val="21"/>
              </w:rPr>
              <w:t xml:space="preserve">Symbolisch</w:t>
            </w:r>
          </w:p>
        </w:tc>
        <w:tc>
          <w:tcPr>
            <w:tcW w:type="dxa" w:w="5226"/>
            <w:tcBorders>
              <w:top w:val="single" w:color="D6E4F0" w:sz="4"/>
              <w:left w:val="single" w:color="D6E4F0" w:sz="4"/>
              <w:bottom w:val="single" w:color="D6E4F0" w:sz="4"/>
              <w:right w:val="single" w:color="D6E4F0" w:sz="4"/>
            </w:tcBorders>
            <w:shd w:fill="003366" w:val="clear"/>
            <w:tcMar>
              <w:top w:type="dxa" w:w="80"/>
              <w:left w:type="dxa" w:w="120"/>
              <w:bottom w:type="dxa" w:w="80"/>
              <w:right w:type="dxa" w:w="120"/>
            </w:tcMar>
          </w:tcPr>
          <w:p>
            <w:r>
              <w:rPr>
                <w:rFonts w:ascii="Calibri" w:cs="Calibri" w:eastAsia="Calibri" w:hAnsi="Calibri"/>
                <w:b/>
                <w:bCs/>
                <w:color w:val="FFFFFF"/>
                <w:sz w:val="21"/>
                <w:szCs w:val="21"/>
              </w:rPr>
              <w:t xml:space="preserve">Bedeutung</w:t>
            </w:r>
          </w:p>
        </w:tc>
      </w:tr>
      <w:tr>
        <w:tc>
          <w:tcPr>
            <w:tcW w:type="dxa" w:w="1400"/>
            <w:tcBorders>
              <w:top w:val="single" w:color="D6E4F0" w:sz="4"/>
              <w:left w:val="single" w:color="D6E4F0" w:sz="4"/>
              <w:bottom w:val="single" w:color="D6E4F0" w:sz="4"/>
              <w:right w:val="single" w:color="D6E4F0" w:sz="4"/>
            </w:tcBorders>
            <w:shd w:fill="EEF5FB" w:val="clear"/>
            <w:tcMar>
              <w:top w:type="dxa" w:w="70"/>
              <w:left w:type="dxa" w:w="120"/>
              <w:bottom w:type="dxa" w:w="70"/>
              <w:right w:type="dxa" w:w="120"/>
            </w:tcMar>
          </w:tcPr>
          <w:p>
            <w:r>
              <w:rPr>
                <w:rFonts w:ascii="Calibri" w:cs="Calibri" w:eastAsia="Calibri" w:hAnsi="Calibri"/>
                <w:b/>
                <w:bCs/>
                <w:color w:val="1A1A1A"/>
                <w:sz w:val="20"/>
                <w:szCs w:val="20"/>
              </w:rPr>
              <w:t xml:space="preserve">755</w:t>
            </w:r>
          </w:p>
        </w:tc>
        <w:tc>
          <w:tcPr>
            <w:tcW w:type="dxa" w:w="2400"/>
            <w:tcBorders>
              <w:top w:val="single" w:color="D6E4F0" w:sz="4"/>
              <w:left w:val="single" w:color="D6E4F0" w:sz="4"/>
              <w:bottom w:val="single" w:color="D6E4F0" w:sz="4"/>
              <w:right w:val="single" w:color="D6E4F0" w:sz="4"/>
            </w:tcBorders>
            <w:shd w:fill="EEF5FB" w:val="clear"/>
            <w:tcMar>
              <w:top w:type="dxa" w:w="70"/>
              <w:left w:type="dxa" w:w="120"/>
              <w:bottom w:type="dxa" w:w="70"/>
              <w:right w:type="dxa" w:w="120"/>
            </w:tcMar>
          </w:tcPr>
          <w:p>
            <w:r>
              <w:rPr>
                <w:rFonts w:ascii="Consolas" w:cs="Consolas" w:eastAsia="Consolas" w:hAnsi="Consolas"/>
                <w:b w:val="false"/>
                <w:bCs w:val="false"/>
                <w:color w:val="1A1A1A"/>
                <w:sz w:val="18"/>
                <w:szCs w:val="18"/>
              </w:rPr>
              <w:t xml:space="preserve">rwxr-xr-x</w:t>
            </w:r>
          </w:p>
        </w:tc>
        <w:tc>
          <w:tcPr>
            <w:tcW w:type="dxa" w:w="5226"/>
            <w:tcBorders>
              <w:top w:val="single" w:color="D6E4F0" w:sz="4"/>
              <w:left w:val="single" w:color="D6E4F0" w:sz="4"/>
              <w:bottom w:val="single" w:color="D6E4F0" w:sz="4"/>
              <w:right w:val="single" w:color="D6E4F0" w:sz="4"/>
            </w:tcBorders>
            <w:shd w:fill="EEF5FB" w:val="clear"/>
            <w:tcMar>
              <w:top w:type="dxa" w:w="70"/>
              <w:left w:type="dxa" w:w="120"/>
              <w:bottom w:type="dxa" w:w="70"/>
              <w:right w:type="dxa" w:w="120"/>
            </w:tcMar>
          </w:tcPr>
          <w:p>
            <w:r>
              <w:rPr>
                <w:rFonts w:ascii="Calibri" w:cs="Calibri" w:eastAsia="Calibri" w:hAnsi="Calibri"/>
                <w:b w:val="false"/>
                <w:bCs w:val="false"/>
                <w:color w:val="1A1A1A"/>
                <w:sz w:val="20"/>
                <w:szCs w:val="20"/>
              </w:rPr>
              <w:t xml:space="preserve">Besitzer alles, Rest lesen/ausführen</w:t>
            </w:r>
          </w:p>
        </w:tc>
      </w:tr>
      <w:tr>
        <w:tc>
          <w:tcPr>
            <w:tcW w:type="dxa" w:w="1400"/>
            <w:tcBorders>
              <w:top w:val="single" w:color="D6E4F0" w:sz="4"/>
              <w:left w:val="single" w:color="D6E4F0" w:sz="4"/>
              <w:bottom w:val="single" w:color="D6E4F0" w:sz="4"/>
              <w:right w:val="single" w:color="D6E4F0" w:sz="4"/>
            </w:tcBorders>
            <w:shd w:fill="FFFFFF" w:val="clear"/>
            <w:tcMar>
              <w:top w:type="dxa" w:w="70"/>
              <w:left w:type="dxa" w:w="120"/>
              <w:bottom w:type="dxa" w:w="70"/>
              <w:right w:type="dxa" w:w="120"/>
            </w:tcMar>
          </w:tcPr>
          <w:p>
            <w:r>
              <w:rPr>
                <w:rFonts w:ascii="Calibri" w:cs="Calibri" w:eastAsia="Calibri" w:hAnsi="Calibri"/>
                <w:b/>
                <w:bCs/>
                <w:color w:val="1A1A1A"/>
                <w:sz w:val="20"/>
                <w:szCs w:val="20"/>
              </w:rPr>
              <w:t xml:space="preserve">644</w:t>
            </w:r>
          </w:p>
        </w:tc>
        <w:tc>
          <w:tcPr>
            <w:tcW w:type="dxa" w:w="2400"/>
            <w:tcBorders>
              <w:top w:val="single" w:color="D6E4F0" w:sz="4"/>
              <w:left w:val="single" w:color="D6E4F0" w:sz="4"/>
              <w:bottom w:val="single" w:color="D6E4F0" w:sz="4"/>
              <w:right w:val="single" w:color="D6E4F0" w:sz="4"/>
            </w:tcBorders>
            <w:shd w:fill="FFFFFF" w:val="clear"/>
            <w:tcMar>
              <w:top w:type="dxa" w:w="70"/>
              <w:left w:type="dxa" w:w="120"/>
              <w:bottom w:type="dxa" w:w="70"/>
              <w:right w:type="dxa" w:w="120"/>
            </w:tcMar>
          </w:tcPr>
          <w:p>
            <w:r>
              <w:rPr>
                <w:rFonts w:ascii="Consolas" w:cs="Consolas" w:eastAsia="Consolas" w:hAnsi="Consolas"/>
                <w:b w:val="false"/>
                <w:bCs w:val="false"/>
                <w:color w:val="1A1A1A"/>
                <w:sz w:val="18"/>
                <w:szCs w:val="18"/>
              </w:rPr>
              <w:t xml:space="preserve">rw-r--r--</w:t>
            </w:r>
          </w:p>
        </w:tc>
        <w:tc>
          <w:tcPr>
            <w:tcW w:type="dxa" w:w="5226"/>
            <w:tcBorders>
              <w:top w:val="single" w:color="D6E4F0" w:sz="4"/>
              <w:left w:val="single" w:color="D6E4F0" w:sz="4"/>
              <w:bottom w:val="single" w:color="D6E4F0" w:sz="4"/>
              <w:right w:val="single" w:color="D6E4F0" w:sz="4"/>
            </w:tcBorders>
            <w:shd w:fill="FFFFFF" w:val="clear"/>
            <w:tcMar>
              <w:top w:type="dxa" w:w="70"/>
              <w:left w:type="dxa" w:w="120"/>
              <w:bottom w:type="dxa" w:w="70"/>
              <w:right w:type="dxa" w:w="120"/>
            </w:tcMar>
          </w:tcPr>
          <w:p>
            <w:r>
              <w:rPr>
                <w:rFonts w:ascii="Calibri" w:cs="Calibri" w:eastAsia="Calibri" w:hAnsi="Calibri"/>
                <w:b w:val="false"/>
                <w:bCs w:val="false"/>
                <w:color w:val="1A1A1A"/>
                <w:sz w:val="20"/>
                <w:szCs w:val="20"/>
              </w:rPr>
              <w:t xml:space="preserve">Besitzer schreiben, Rest nur lesen</w:t>
            </w:r>
          </w:p>
        </w:tc>
      </w:tr>
      <w:tr>
        <w:tc>
          <w:tcPr>
            <w:tcW w:type="dxa" w:w="1400"/>
            <w:tcBorders>
              <w:top w:val="single" w:color="D6E4F0" w:sz="4"/>
              <w:left w:val="single" w:color="D6E4F0" w:sz="4"/>
              <w:bottom w:val="single" w:color="D6E4F0" w:sz="4"/>
              <w:right w:val="single" w:color="D6E4F0" w:sz="4"/>
            </w:tcBorders>
            <w:shd w:fill="EEF5FB" w:val="clear"/>
            <w:tcMar>
              <w:top w:type="dxa" w:w="70"/>
              <w:left w:type="dxa" w:w="120"/>
              <w:bottom w:type="dxa" w:w="70"/>
              <w:right w:type="dxa" w:w="120"/>
            </w:tcMar>
          </w:tcPr>
          <w:p>
            <w:r>
              <w:rPr>
                <w:rFonts w:ascii="Calibri" w:cs="Calibri" w:eastAsia="Calibri" w:hAnsi="Calibri"/>
                <w:b/>
                <w:bCs/>
                <w:color w:val="1A1A1A"/>
                <w:sz w:val="20"/>
                <w:szCs w:val="20"/>
              </w:rPr>
              <w:t xml:space="preserve">770</w:t>
            </w:r>
          </w:p>
        </w:tc>
        <w:tc>
          <w:tcPr>
            <w:tcW w:type="dxa" w:w="2400"/>
            <w:tcBorders>
              <w:top w:val="single" w:color="D6E4F0" w:sz="4"/>
              <w:left w:val="single" w:color="D6E4F0" w:sz="4"/>
              <w:bottom w:val="single" w:color="D6E4F0" w:sz="4"/>
              <w:right w:val="single" w:color="D6E4F0" w:sz="4"/>
            </w:tcBorders>
            <w:shd w:fill="EEF5FB" w:val="clear"/>
            <w:tcMar>
              <w:top w:type="dxa" w:w="70"/>
              <w:left w:type="dxa" w:w="120"/>
              <w:bottom w:type="dxa" w:w="70"/>
              <w:right w:type="dxa" w:w="120"/>
            </w:tcMar>
          </w:tcPr>
          <w:p>
            <w:r>
              <w:rPr>
                <w:rFonts w:ascii="Consolas" w:cs="Consolas" w:eastAsia="Consolas" w:hAnsi="Consolas"/>
                <w:b w:val="false"/>
                <w:bCs w:val="false"/>
                <w:color w:val="1A1A1A"/>
                <w:sz w:val="18"/>
                <w:szCs w:val="18"/>
              </w:rPr>
              <w:t xml:space="preserve">rwxrwx---</w:t>
            </w:r>
          </w:p>
        </w:tc>
        <w:tc>
          <w:tcPr>
            <w:tcW w:type="dxa" w:w="5226"/>
            <w:tcBorders>
              <w:top w:val="single" w:color="D6E4F0" w:sz="4"/>
              <w:left w:val="single" w:color="D6E4F0" w:sz="4"/>
              <w:bottom w:val="single" w:color="D6E4F0" w:sz="4"/>
              <w:right w:val="single" w:color="D6E4F0" w:sz="4"/>
            </w:tcBorders>
            <w:shd w:fill="EEF5FB" w:val="clear"/>
            <w:tcMar>
              <w:top w:type="dxa" w:w="70"/>
              <w:left w:type="dxa" w:w="120"/>
              <w:bottom w:type="dxa" w:w="70"/>
              <w:right w:type="dxa" w:w="120"/>
            </w:tcMar>
          </w:tcPr>
          <w:p>
            <w:r>
              <w:rPr>
                <w:rFonts w:ascii="Calibri" w:cs="Calibri" w:eastAsia="Calibri" w:hAnsi="Calibri"/>
                <w:b w:val="false"/>
                <w:bCs w:val="false"/>
                <w:color w:val="1A1A1A"/>
                <w:sz w:val="20"/>
                <w:szCs w:val="20"/>
              </w:rPr>
              <w:t xml:space="preserve">Besitzer+Gruppe alles, Rest nichts</w:t>
            </w:r>
          </w:p>
        </w:tc>
      </w:tr>
      <w:tr>
        <w:tc>
          <w:tcPr>
            <w:tcW w:type="dxa" w:w="1400"/>
            <w:tcBorders>
              <w:top w:val="single" w:color="D6E4F0" w:sz="4"/>
              <w:left w:val="single" w:color="D6E4F0" w:sz="4"/>
              <w:bottom w:val="single" w:color="D6E4F0" w:sz="4"/>
              <w:right w:val="single" w:color="D6E4F0" w:sz="4"/>
            </w:tcBorders>
            <w:shd w:fill="FFFFFF" w:val="clear"/>
            <w:tcMar>
              <w:top w:type="dxa" w:w="70"/>
              <w:left w:type="dxa" w:w="120"/>
              <w:bottom w:type="dxa" w:w="70"/>
              <w:right w:type="dxa" w:w="120"/>
            </w:tcMar>
          </w:tcPr>
          <w:p>
            <w:r>
              <w:rPr>
                <w:rFonts w:ascii="Calibri" w:cs="Calibri" w:eastAsia="Calibri" w:hAnsi="Calibri"/>
                <w:b/>
                <w:bCs/>
                <w:color w:val="1A1A1A"/>
                <w:sz w:val="20"/>
                <w:szCs w:val="20"/>
              </w:rPr>
              <w:t xml:space="preserve">600</w:t>
            </w:r>
          </w:p>
        </w:tc>
        <w:tc>
          <w:tcPr>
            <w:tcW w:type="dxa" w:w="2400"/>
            <w:tcBorders>
              <w:top w:val="single" w:color="D6E4F0" w:sz="4"/>
              <w:left w:val="single" w:color="D6E4F0" w:sz="4"/>
              <w:bottom w:val="single" w:color="D6E4F0" w:sz="4"/>
              <w:right w:val="single" w:color="D6E4F0" w:sz="4"/>
            </w:tcBorders>
            <w:shd w:fill="FFFFFF" w:val="clear"/>
            <w:tcMar>
              <w:top w:type="dxa" w:w="70"/>
              <w:left w:type="dxa" w:w="120"/>
              <w:bottom w:type="dxa" w:w="70"/>
              <w:right w:type="dxa" w:w="120"/>
            </w:tcMar>
          </w:tcPr>
          <w:p>
            <w:r>
              <w:rPr>
                <w:rFonts w:ascii="Consolas" w:cs="Consolas" w:eastAsia="Consolas" w:hAnsi="Consolas"/>
                <w:b w:val="false"/>
                <w:bCs w:val="false"/>
                <w:color w:val="1A1A1A"/>
                <w:sz w:val="18"/>
                <w:szCs w:val="18"/>
              </w:rPr>
              <w:t xml:space="preserve">rw-------</w:t>
            </w:r>
          </w:p>
        </w:tc>
        <w:tc>
          <w:tcPr>
            <w:tcW w:type="dxa" w:w="5226"/>
            <w:tcBorders>
              <w:top w:val="single" w:color="D6E4F0" w:sz="4"/>
              <w:left w:val="single" w:color="D6E4F0" w:sz="4"/>
              <w:bottom w:val="single" w:color="D6E4F0" w:sz="4"/>
              <w:right w:val="single" w:color="D6E4F0" w:sz="4"/>
            </w:tcBorders>
            <w:shd w:fill="FFFFFF" w:val="clear"/>
            <w:tcMar>
              <w:top w:type="dxa" w:w="70"/>
              <w:left w:type="dxa" w:w="120"/>
              <w:bottom w:type="dxa" w:w="70"/>
              <w:right w:type="dxa" w:w="120"/>
            </w:tcMar>
          </w:tcPr>
          <w:p>
            <w:r>
              <w:rPr>
                <w:rFonts w:ascii="Calibri" w:cs="Calibri" w:eastAsia="Calibri" w:hAnsi="Calibri"/>
                <w:b w:val="false"/>
                <w:bCs w:val="false"/>
                <w:color w:val="1A1A1A"/>
                <w:sz w:val="20"/>
                <w:szCs w:val="20"/>
              </w:rPr>
              <w:t xml:space="preserve">nur der Besitzer liest und schreibt</w:t>
            </w:r>
          </w:p>
        </w:tc>
      </w:tr>
    </w:tbl>
    <w:p>
      <w:pPr>
        <w:spacing w:after="60"/>
      </w:pP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c>
          <w:tcPr>
            <w:tcW w:type="dxa" w:w="9026"/>
            <w:tcBorders>
              <w:top w:val="single" w:color="0A2540" w:sz="1"/>
              <w:left w:val="single" w:color="0A2540" w:sz="1"/>
              <w:bottom w:val="single" w:color="0A2540" w:sz="1"/>
              <w:right w:val="single" w:color="0A2540" w:sz="1"/>
            </w:tcBorders>
            <w:shd w:fill="0A2540" w:val="clear"/>
            <w:tcMar>
              <w:top w:type="dxa" w:w="120"/>
              <w:left w:type="dxa" w:w="160"/>
              <w:bottom w:type="dxa" w:w="120"/>
              <w:right w:type="dxa" w:w="160"/>
            </w:tcMar>
          </w:tcPr>
          <w:p>
            <w:pPr>
              <w:spacing w:after="0" w:line="250"/>
            </w:pPr>
            <w:r>
              <w:rPr>
                <w:rFonts w:ascii="Consolas" w:cs="Consolas" w:eastAsia="Consolas" w:hAnsi="Consolas"/>
                <w:color w:val="D6E4F0"/>
                <w:sz w:val="19"/>
                <w:szCs w:val="19"/>
              </w:rPr>
              <w:t xml:space="preserve">chown max:vertrieb bericht.txt     # Besitzer &amp; Gruppe setzen</w:t>
            </w:r>
          </w:p>
          <w:p>
            <w:pPr>
              <w:spacing w:after="0" w:line="250"/>
            </w:pPr>
            <w:r>
              <w:rPr>
                <w:rFonts w:ascii="Consolas" w:cs="Consolas" w:eastAsia="Consolas" w:hAnsi="Consolas"/>
                <w:color w:val="D6E4F0"/>
                <w:sz w:val="19"/>
                <w:szCs w:val="19"/>
              </w:rPr>
              <w:t xml:space="preserve">chmod 770 /daten/vertrieb          # Rechte numerisch</w:t>
            </w:r>
          </w:p>
          <w:p>
            <w:pPr>
              <w:spacing w:after="0" w:line="250"/>
            </w:pPr>
            <w:r>
              <w:rPr>
                <w:rFonts w:ascii="Consolas" w:cs="Consolas" w:eastAsia="Consolas" w:hAnsi="Consolas"/>
                <w:color w:val="D6E4F0"/>
                <w:sz w:val="19"/>
                <w:szCs w:val="19"/>
              </w:rPr>
              <w:t xml:space="preserve">ls -l /daten/vertrieb              # anzeigen</w:t>
            </w:r>
          </w:p>
        </w:tc>
      </w:tr>
    </w:tbl>
    <w:p>
      <w:pPr>
        <w:pStyle w:val="Heading1"/>
        <w:spacing w:after="140" w:before="320"/>
      </w:pPr>
      <w:r>
        <w:rPr>
          <w:rFonts w:ascii="Calibri" w:cs="Calibri" w:eastAsia="Calibri" w:hAnsi="Calibri"/>
          <w:b/>
          <w:bCs/>
          <w:color w:val="003366"/>
          <w:sz w:val="30"/>
          <w:szCs w:val="30"/>
        </w:rPr>
        <w:t xml:space="preserve">9  Linux: erweiterte ACLs &amp; Samba</w:t>
      </w:r>
    </w:p>
    <w:p>
      <w:pPr>
        <w:spacing w:after="120" w:line="276"/>
      </w:pPr>
      <w:r>
        <w:rPr>
          <w:rFonts w:ascii="Calibri" w:cs="Calibri" w:eastAsia="Calibri" w:hAnsi="Calibri"/>
          <w:color w:val="1A1A1A"/>
          <w:sz w:val="22"/>
          <w:szCs w:val="22"/>
        </w:rPr>
        <w:t xml:space="preserve">POSIX kennt nur einen Besitzer und eine Gruppe je Objekt — das ist oft zu grob. Erweiterte ACLs erlauben zusätzliche Rechte für weitere Benutzer und Gruppen. Gesetzt werden sie mit setfacl, angezeigt mit getfacl. Über Samba lässt sich ein Linux-Ordner als SMB-Freigabe für Windows-Clients bereitstellen.</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c>
          <w:tcPr>
            <w:tcW w:type="dxa" w:w="9026"/>
            <w:tcBorders>
              <w:top w:val="single" w:color="0A2540" w:sz="1"/>
              <w:left w:val="single" w:color="0A2540" w:sz="1"/>
              <w:bottom w:val="single" w:color="0A2540" w:sz="1"/>
              <w:right w:val="single" w:color="0A2540" w:sz="1"/>
            </w:tcBorders>
            <w:shd w:fill="0A2540" w:val="clear"/>
            <w:tcMar>
              <w:top w:type="dxa" w:w="120"/>
              <w:left w:type="dxa" w:w="160"/>
              <w:bottom w:type="dxa" w:w="120"/>
              <w:right w:type="dxa" w:w="160"/>
            </w:tcMar>
          </w:tcPr>
          <w:p>
            <w:pPr>
              <w:spacing w:after="0" w:line="250"/>
            </w:pPr>
            <w:r>
              <w:rPr>
                <w:rFonts w:ascii="Consolas" w:cs="Consolas" w:eastAsia="Consolas" w:hAnsi="Consolas"/>
                <w:color w:val="D6E4F0"/>
                <w:sz w:val="19"/>
                <w:szCs w:val="19"/>
              </w:rPr>
              <w:t xml:space="preserve"># zusätzliche Gruppe per ACL berechtigen</w:t>
            </w:r>
          </w:p>
          <w:p>
            <w:pPr>
              <w:spacing w:after="0" w:line="250"/>
            </w:pPr>
            <w:r>
              <w:rPr>
                <w:rFonts w:ascii="Consolas" w:cs="Consolas" w:eastAsia="Consolas" w:hAnsi="Consolas"/>
                <w:color w:val="D6E4F0"/>
                <w:sz w:val="19"/>
                <w:szCs w:val="19"/>
              </w:rPr>
              <w:t xml:space="preserve">setfacl -m g:buchhaltung:rwx /daten/projekt</w:t>
            </w:r>
          </w:p>
          <w:p>
            <w:pPr>
              <w:spacing w:after="0" w:line="250"/>
            </w:pPr>
            <w:r>
              <w:rPr>
                <w:rFonts w:ascii="Consolas" w:cs="Consolas" w:eastAsia="Consolas" w:hAnsi="Consolas"/>
                <w:color w:val="D6E4F0"/>
                <w:sz w:val="19"/>
                <w:szCs w:val="19"/>
              </w:rPr>
              <w:t xml:space="preserve">getfacl /daten/projekt</w:t>
            </w:r>
          </w:p>
          <w:p>
            <w:pPr>
              <w:spacing w:after="0" w:line="250"/>
            </w:pPr>
            <w:r>
              <w:rPr>
                <w:rFonts w:ascii="Consolas" w:cs="Consolas" w:eastAsia="Consolas" w:hAnsi="Consolas"/>
                <w:color w:val="D6E4F0"/>
                <w:sz w:val="19"/>
                <w:szCs w:val="19"/>
              </w:rPr>
              <w:t xml:space="preserve"> </w:t>
            </w:r>
          </w:p>
          <w:p>
            <w:pPr>
              <w:spacing w:after="0" w:line="250"/>
            </w:pPr>
            <w:r>
              <w:rPr>
                <w:rFonts w:ascii="Consolas" w:cs="Consolas" w:eastAsia="Consolas" w:hAnsi="Consolas"/>
                <w:color w:val="D6E4F0"/>
                <w:sz w:val="19"/>
                <w:szCs w:val="19"/>
              </w:rPr>
              <w:t xml:space="preserve"># /etc/samba/smb.conf</w:t>
            </w:r>
          </w:p>
          <w:p>
            <w:pPr>
              <w:spacing w:after="0" w:line="250"/>
            </w:pPr>
            <w:r>
              <w:rPr>
                <w:rFonts w:ascii="Consolas" w:cs="Consolas" w:eastAsia="Consolas" w:hAnsi="Consolas"/>
                <w:color w:val="D6E4F0"/>
                <w:sz w:val="19"/>
                <w:szCs w:val="19"/>
              </w:rPr>
              <w:t xml:space="preserve">[Vertrieb]</w:t>
            </w:r>
          </w:p>
          <w:p>
            <w:pPr>
              <w:spacing w:after="0" w:line="250"/>
            </w:pPr>
            <w:r>
              <w:rPr>
                <w:rFonts w:ascii="Consolas" w:cs="Consolas" w:eastAsia="Consolas" w:hAnsi="Consolas"/>
                <w:color w:val="D6E4F0"/>
                <w:sz w:val="19"/>
                <w:szCs w:val="19"/>
              </w:rPr>
              <w:t xml:space="preserve">  path = /daten/vertrieb</w:t>
            </w:r>
          </w:p>
          <w:p>
            <w:pPr>
              <w:spacing w:after="0" w:line="250"/>
            </w:pPr>
            <w:r>
              <w:rPr>
                <w:rFonts w:ascii="Consolas" w:cs="Consolas" w:eastAsia="Consolas" w:hAnsi="Consolas"/>
                <w:color w:val="D6E4F0"/>
                <w:sz w:val="19"/>
                <w:szCs w:val="19"/>
              </w:rPr>
              <w:t xml:space="preserve">  valid users = @vertrieb</w:t>
            </w:r>
          </w:p>
          <w:p>
            <w:pPr>
              <w:spacing w:after="0" w:line="250"/>
            </w:pPr>
            <w:r>
              <w:rPr>
                <w:rFonts w:ascii="Consolas" w:cs="Consolas" w:eastAsia="Consolas" w:hAnsi="Consolas"/>
                <w:color w:val="D6E4F0"/>
                <w:sz w:val="19"/>
                <w:szCs w:val="19"/>
              </w:rPr>
              <w:t xml:space="preserve">  writable = yes</w:t>
            </w:r>
          </w:p>
        </w:tc>
      </w:tr>
    </w:tbl>
    <w:p>
      <w:pPr>
        <w:pStyle w:val="Heading1"/>
        <w:spacing w:after="140" w:before="320"/>
      </w:pPr>
      <w:r>
        <w:rPr>
          <w:rFonts w:ascii="Calibri" w:cs="Calibri" w:eastAsia="Calibri" w:hAnsi="Calibri"/>
          <w:b/>
          <w:bCs/>
          <w:color w:val="003366"/>
          <w:sz w:val="30"/>
          <w:szCs w:val="30"/>
        </w:rPr>
        <w:t xml:space="preserve">10  NTFS vs. POSIX/ACL im Vergleich</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2300"/>
        <w:gridCol w:w="3363"/>
        <w:gridCol w:w="3363"/>
      </w:tblGrid>
      <w:tr>
        <w:trPr>
          <w:tblHeader/>
        </w:trPr>
        <w:tc>
          <w:tcPr>
            <w:tcW w:type="dxa" w:w="2300"/>
            <w:tcBorders>
              <w:top w:val="single" w:color="D6E4F0" w:sz="4"/>
              <w:left w:val="single" w:color="D6E4F0" w:sz="4"/>
              <w:bottom w:val="single" w:color="D6E4F0" w:sz="4"/>
              <w:right w:val="single" w:color="D6E4F0" w:sz="4"/>
            </w:tcBorders>
            <w:shd w:fill="003366" w:val="clear"/>
            <w:tcMar>
              <w:top w:type="dxa" w:w="80"/>
              <w:left w:type="dxa" w:w="120"/>
              <w:bottom w:type="dxa" w:w="80"/>
              <w:right w:type="dxa" w:w="120"/>
            </w:tcMar>
          </w:tcPr>
          <w:p>
            <w:r>
              <w:rPr>
                <w:rFonts w:ascii="Calibri" w:cs="Calibri" w:eastAsia="Calibri" w:hAnsi="Calibri"/>
                <w:b/>
                <w:bCs/>
                <w:color w:val="FFFFFF"/>
                <w:sz w:val="21"/>
                <w:szCs w:val="21"/>
              </w:rPr>
              <w:t xml:space="preserve">Kriterium</w:t>
            </w:r>
          </w:p>
        </w:tc>
        <w:tc>
          <w:tcPr>
            <w:tcW w:type="dxa" w:w="3363"/>
            <w:tcBorders>
              <w:top w:val="single" w:color="D6E4F0" w:sz="4"/>
              <w:left w:val="single" w:color="D6E4F0" w:sz="4"/>
              <w:bottom w:val="single" w:color="D6E4F0" w:sz="4"/>
              <w:right w:val="single" w:color="D6E4F0" w:sz="4"/>
            </w:tcBorders>
            <w:shd w:fill="003366" w:val="clear"/>
            <w:tcMar>
              <w:top w:type="dxa" w:w="80"/>
              <w:left w:type="dxa" w:w="120"/>
              <w:bottom w:type="dxa" w:w="80"/>
              <w:right w:type="dxa" w:w="120"/>
            </w:tcMar>
          </w:tcPr>
          <w:p>
            <w:r>
              <w:rPr>
                <w:rFonts w:ascii="Calibri" w:cs="Calibri" w:eastAsia="Calibri" w:hAnsi="Calibri"/>
                <w:b/>
                <w:bCs/>
                <w:color w:val="FFFFFF"/>
                <w:sz w:val="21"/>
                <w:szCs w:val="21"/>
              </w:rPr>
              <w:t xml:space="preserve">Windows NTFS</w:t>
            </w:r>
          </w:p>
        </w:tc>
        <w:tc>
          <w:tcPr>
            <w:tcW w:type="dxa" w:w="3363"/>
            <w:tcBorders>
              <w:top w:val="single" w:color="D6E4F0" w:sz="4"/>
              <w:left w:val="single" w:color="D6E4F0" w:sz="4"/>
              <w:bottom w:val="single" w:color="D6E4F0" w:sz="4"/>
              <w:right w:val="single" w:color="D6E4F0" w:sz="4"/>
            </w:tcBorders>
            <w:shd w:fill="003366" w:val="clear"/>
            <w:tcMar>
              <w:top w:type="dxa" w:w="80"/>
              <w:left w:type="dxa" w:w="120"/>
              <w:bottom w:type="dxa" w:w="80"/>
              <w:right w:type="dxa" w:w="120"/>
            </w:tcMar>
          </w:tcPr>
          <w:p>
            <w:r>
              <w:rPr>
                <w:rFonts w:ascii="Calibri" w:cs="Calibri" w:eastAsia="Calibri" w:hAnsi="Calibri"/>
                <w:b/>
                <w:bCs/>
                <w:color w:val="FFFFFF"/>
                <w:sz w:val="21"/>
                <w:szCs w:val="21"/>
              </w:rPr>
              <w:t xml:space="preserve">Linux POSIX / ACL</w:t>
            </w:r>
          </w:p>
        </w:tc>
      </w:tr>
      <w:tr>
        <w:tc>
          <w:tcPr>
            <w:tcW w:type="dxa" w:w="2300"/>
            <w:tcBorders>
              <w:top w:val="single" w:color="D6E4F0" w:sz="4"/>
              <w:left w:val="single" w:color="D6E4F0" w:sz="4"/>
              <w:bottom w:val="single" w:color="D6E4F0" w:sz="4"/>
              <w:right w:val="single" w:color="D6E4F0" w:sz="4"/>
            </w:tcBorders>
            <w:shd w:fill="EEF5FB" w:val="clear"/>
            <w:tcMar>
              <w:top w:type="dxa" w:w="70"/>
              <w:left w:type="dxa" w:w="120"/>
              <w:bottom w:type="dxa" w:w="70"/>
              <w:right w:type="dxa" w:w="120"/>
            </w:tcMar>
          </w:tcPr>
          <w:p>
            <w:r>
              <w:rPr>
                <w:rFonts w:ascii="Calibri" w:cs="Calibri" w:eastAsia="Calibri" w:hAnsi="Calibri"/>
                <w:b/>
                <w:bCs/>
                <w:color w:val="1A1A1A"/>
                <w:sz w:val="20"/>
                <w:szCs w:val="20"/>
              </w:rPr>
              <w:t xml:space="preserve">Grundmodell</w:t>
            </w:r>
          </w:p>
        </w:tc>
        <w:tc>
          <w:tcPr>
            <w:tcW w:type="dxa" w:w="3363"/>
            <w:tcBorders>
              <w:top w:val="single" w:color="D6E4F0" w:sz="4"/>
              <w:left w:val="single" w:color="D6E4F0" w:sz="4"/>
              <w:bottom w:val="single" w:color="D6E4F0" w:sz="4"/>
              <w:right w:val="single" w:color="D6E4F0" w:sz="4"/>
            </w:tcBorders>
            <w:shd w:fill="EEF5FB" w:val="clear"/>
            <w:tcMar>
              <w:top w:type="dxa" w:w="70"/>
              <w:left w:type="dxa" w:w="120"/>
              <w:bottom w:type="dxa" w:w="70"/>
              <w:right w:type="dxa" w:w="120"/>
            </w:tcMar>
          </w:tcPr>
          <w:p>
            <w:r>
              <w:rPr>
                <w:rFonts w:ascii="Calibri" w:cs="Calibri" w:eastAsia="Calibri" w:hAnsi="Calibri"/>
                <w:b w:val="false"/>
                <w:bCs w:val="false"/>
                <w:color w:val="1A1A1A"/>
                <w:sz w:val="20"/>
                <w:szCs w:val="20"/>
              </w:rPr>
              <w:t xml:space="preserve">ACL pro Objekt</w:t>
            </w:r>
          </w:p>
        </w:tc>
        <w:tc>
          <w:tcPr>
            <w:tcW w:type="dxa" w:w="3363"/>
            <w:tcBorders>
              <w:top w:val="single" w:color="D6E4F0" w:sz="4"/>
              <w:left w:val="single" w:color="D6E4F0" w:sz="4"/>
              <w:bottom w:val="single" w:color="D6E4F0" w:sz="4"/>
              <w:right w:val="single" w:color="D6E4F0" w:sz="4"/>
            </w:tcBorders>
            <w:shd w:fill="EEF5FB" w:val="clear"/>
            <w:tcMar>
              <w:top w:type="dxa" w:w="70"/>
              <w:left w:type="dxa" w:w="120"/>
              <w:bottom w:type="dxa" w:w="70"/>
              <w:right w:type="dxa" w:w="120"/>
            </w:tcMar>
          </w:tcPr>
          <w:p>
            <w:r>
              <w:rPr>
                <w:rFonts w:ascii="Calibri" w:cs="Calibri" w:eastAsia="Calibri" w:hAnsi="Calibri"/>
                <w:b w:val="false"/>
                <w:bCs w:val="false"/>
                <w:color w:val="1A1A1A"/>
                <w:sz w:val="20"/>
                <w:szCs w:val="20"/>
              </w:rPr>
              <w:t xml:space="preserve">Besitzer/Gruppe/Andere (rwx)</w:t>
            </w:r>
          </w:p>
        </w:tc>
      </w:tr>
      <w:tr>
        <w:tc>
          <w:tcPr>
            <w:tcW w:type="dxa" w:w="2300"/>
            <w:tcBorders>
              <w:top w:val="single" w:color="D6E4F0" w:sz="4"/>
              <w:left w:val="single" w:color="D6E4F0" w:sz="4"/>
              <w:bottom w:val="single" w:color="D6E4F0" w:sz="4"/>
              <w:right w:val="single" w:color="D6E4F0" w:sz="4"/>
            </w:tcBorders>
            <w:shd w:fill="FFFFFF" w:val="clear"/>
            <w:tcMar>
              <w:top w:type="dxa" w:w="70"/>
              <w:left w:type="dxa" w:w="120"/>
              <w:bottom w:type="dxa" w:w="70"/>
              <w:right w:type="dxa" w:w="120"/>
            </w:tcMar>
          </w:tcPr>
          <w:p>
            <w:r>
              <w:rPr>
                <w:rFonts w:ascii="Calibri" w:cs="Calibri" w:eastAsia="Calibri" w:hAnsi="Calibri"/>
                <w:b/>
                <w:bCs/>
                <w:color w:val="1A1A1A"/>
                <w:sz w:val="20"/>
                <w:szCs w:val="20"/>
              </w:rPr>
              <w:t xml:space="preserve">Granularität</w:t>
            </w:r>
          </w:p>
        </w:tc>
        <w:tc>
          <w:tcPr>
            <w:tcW w:type="dxa" w:w="3363"/>
            <w:tcBorders>
              <w:top w:val="single" w:color="D6E4F0" w:sz="4"/>
              <w:left w:val="single" w:color="D6E4F0" w:sz="4"/>
              <w:bottom w:val="single" w:color="D6E4F0" w:sz="4"/>
              <w:right w:val="single" w:color="D6E4F0" w:sz="4"/>
            </w:tcBorders>
            <w:shd w:fill="FFFFFF" w:val="clear"/>
            <w:tcMar>
              <w:top w:type="dxa" w:w="70"/>
              <w:left w:type="dxa" w:w="120"/>
              <w:bottom w:type="dxa" w:w="70"/>
              <w:right w:type="dxa" w:w="120"/>
            </w:tcMar>
          </w:tcPr>
          <w:p>
            <w:r>
              <w:rPr>
                <w:rFonts w:ascii="Calibri" w:cs="Calibri" w:eastAsia="Calibri" w:hAnsi="Calibri"/>
                <w:b w:val="false"/>
                <w:bCs w:val="false"/>
                <w:color w:val="1A1A1A"/>
                <w:sz w:val="20"/>
                <w:szCs w:val="20"/>
              </w:rPr>
              <w:t xml:space="preserve">sehr fein</w:t>
            </w:r>
          </w:p>
        </w:tc>
        <w:tc>
          <w:tcPr>
            <w:tcW w:type="dxa" w:w="3363"/>
            <w:tcBorders>
              <w:top w:val="single" w:color="D6E4F0" w:sz="4"/>
              <w:left w:val="single" w:color="D6E4F0" w:sz="4"/>
              <w:bottom w:val="single" w:color="D6E4F0" w:sz="4"/>
              <w:right w:val="single" w:color="D6E4F0" w:sz="4"/>
            </w:tcBorders>
            <w:shd w:fill="FFFFFF" w:val="clear"/>
            <w:tcMar>
              <w:top w:type="dxa" w:w="70"/>
              <w:left w:type="dxa" w:w="120"/>
              <w:bottom w:type="dxa" w:w="70"/>
              <w:right w:type="dxa" w:w="120"/>
            </w:tcMar>
          </w:tcPr>
          <w:p>
            <w:r>
              <w:rPr>
                <w:rFonts w:ascii="Calibri" w:cs="Calibri" w:eastAsia="Calibri" w:hAnsi="Calibri"/>
                <w:b w:val="false"/>
                <w:bCs w:val="false"/>
                <w:color w:val="1A1A1A"/>
                <w:sz w:val="20"/>
                <w:szCs w:val="20"/>
              </w:rPr>
              <w:t xml:space="preserve">grob — fein erst mit ACLs</w:t>
            </w:r>
          </w:p>
        </w:tc>
      </w:tr>
      <w:tr>
        <w:tc>
          <w:tcPr>
            <w:tcW w:type="dxa" w:w="2300"/>
            <w:tcBorders>
              <w:top w:val="single" w:color="D6E4F0" w:sz="4"/>
              <w:left w:val="single" w:color="D6E4F0" w:sz="4"/>
              <w:bottom w:val="single" w:color="D6E4F0" w:sz="4"/>
              <w:right w:val="single" w:color="D6E4F0" w:sz="4"/>
            </w:tcBorders>
            <w:shd w:fill="EEF5FB" w:val="clear"/>
            <w:tcMar>
              <w:top w:type="dxa" w:w="70"/>
              <w:left w:type="dxa" w:w="120"/>
              <w:bottom w:type="dxa" w:w="70"/>
              <w:right w:type="dxa" w:w="120"/>
            </w:tcMar>
          </w:tcPr>
          <w:p>
            <w:r>
              <w:rPr>
                <w:rFonts w:ascii="Calibri" w:cs="Calibri" w:eastAsia="Calibri" w:hAnsi="Calibri"/>
                <w:b/>
                <w:bCs/>
                <w:color w:val="1A1A1A"/>
                <w:sz w:val="20"/>
                <w:szCs w:val="20"/>
              </w:rPr>
              <w:t xml:space="preserve">mehrere Gruppen</w:t>
            </w:r>
          </w:p>
        </w:tc>
        <w:tc>
          <w:tcPr>
            <w:tcW w:type="dxa" w:w="3363"/>
            <w:tcBorders>
              <w:top w:val="single" w:color="D6E4F0" w:sz="4"/>
              <w:left w:val="single" w:color="D6E4F0" w:sz="4"/>
              <w:bottom w:val="single" w:color="D6E4F0" w:sz="4"/>
              <w:right w:val="single" w:color="D6E4F0" w:sz="4"/>
            </w:tcBorders>
            <w:shd w:fill="EEF5FB" w:val="clear"/>
            <w:tcMar>
              <w:top w:type="dxa" w:w="70"/>
              <w:left w:type="dxa" w:w="120"/>
              <w:bottom w:type="dxa" w:w="70"/>
              <w:right w:type="dxa" w:w="120"/>
            </w:tcMar>
          </w:tcPr>
          <w:p>
            <w:r>
              <w:rPr>
                <w:rFonts w:ascii="Calibri" w:cs="Calibri" w:eastAsia="Calibri" w:hAnsi="Calibri"/>
                <w:b w:val="false"/>
                <w:bCs w:val="false"/>
                <w:color w:val="1A1A1A"/>
                <w:sz w:val="20"/>
                <w:szCs w:val="20"/>
              </w:rPr>
              <w:t xml:space="preserve">von Haus aus</w:t>
            </w:r>
          </w:p>
        </w:tc>
        <w:tc>
          <w:tcPr>
            <w:tcW w:type="dxa" w:w="3363"/>
            <w:tcBorders>
              <w:top w:val="single" w:color="D6E4F0" w:sz="4"/>
              <w:left w:val="single" w:color="D6E4F0" w:sz="4"/>
              <w:bottom w:val="single" w:color="D6E4F0" w:sz="4"/>
              <w:right w:val="single" w:color="D6E4F0" w:sz="4"/>
            </w:tcBorders>
            <w:shd w:fill="EEF5FB" w:val="clear"/>
            <w:tcMar>
              <w:top w:type="dxa" w:w="70"/>
              <w:left w:type="dxa" w:w="120"/>
              <w:bottom w:type="dxa" w:w="70"/>
              <w:right w:type="dxa" w:w="120"/>
            </w:tcMar>
          </w:tcPr>
          <w:p>
            <w:r>
              <w:rPr>
                <w:rFonts w:ascii="Calibri" w:cs="Calibri" w:eastAsia="Calibri" w:hAnsi="Calibri"/>
                <w:b w:val="false"/>
                <w:bCs w:val="false"/>
                <w:color w:val="1A1A1A"/>
                <w:sz w:val="20"/>
                <w:szCs w:val="20"/>
              </w:rPr>
              <w:t xml:space="preserve">erst über erweiterte ACLs</w:t>
            </w:r>
          </w:p>
        </w:tc>
      </w:tr>
      <w:tr>
        <w:tc>
          <w:tcPr>
            <w:tcW w:type="dxa" w:w="2300"/>
            <w:tcBorders>
              <w:top w:val="single" w:color="D6E4F0" w:sz="4"/>
              <w:left w:val="single" w:color="D6E4F0" w:sz="4"/>
              <w:bottom w:val="single" w:color="D6E4F0" w:sz="4"/>
              <w:right w:val="single" w:color="D6E4F0" w:sz="4"/>
            </w:tcBorders>
            <w:shd w:fill="FFFFFF" w:val="clear"/>
            <w:tcMar>
              <w:top w:type="dxa" w:w="70"/>
              <w:left w:type="dxa" w:w="120"/>
              <w:bottom w:type="dxa" w:w="70"/>
              <w:right w:type="dxa" w:w="120"/>
            </w:tcMar>
          </w:tcPr>
          <w:p>
            <w:r>
              <w:rPr>
                <w:rFonts w:ascii="Calibri" w:cs="Calibri" w:eastAsia="Calibri" w:hAnsi="Calibri"/>
                <w:b/>
                <w:bCs/>
                <w:color w:val="1A1A1A"/>
                <w:sz w:val="20"/>
                <w:szCs w:val="20"/>
              </w:rPr>
              <w:t xml:space="preserve">Vererbung</w:t>
            </w:r>
          </w:p>
        </w:tc>
        <w:tc>
          <w:tcPr>
            <w:tcW w:type="dxa" w:w="3363"/>
            <w:tcBorders>
              <w:top w:val="single" w:color="D6E4F0" w:sz="4"/>
              <w:left w:val="single" w:color="D6E4F0" w:sz="4"/>
              <w:bottom w:val="single" w:color="D6E4F0" w:sz="4"/>
              <w:right w:val="single" w:color="D6E4F0" w:sz="4"/>
            </w:tcBorders>
            <w:shd w:fill="FFFFFF" w:val="clear"/>
            <w:tcMar>
              <w:top w:type="dxa" w:w="70"/>
              <w:left w:type="dxa" w:w="120"/>
              <w:bottom w:type="dxa" w:w="70"/>
              <w:right w:type="dxa" w:w="120"/>
            </w:tcMar>
          </w:tcPr>
          <w:p>
            <w:r>
              <w:rPr>
                <w:rFonts w:ascii="Calibri" w:cs="Calibri" w:eastAsia="Calibri" w:hAnsi="Calibri"/>
                <w:b w:val="false"/>
                <w:bCs w:val="false"/>
                <w:color w:val="1A1A1A"/>
                <w:sz w:val="20"/>
                <w:szCs w:val="20"/>
              </w:rPr>
              <w:t xml:space="preserve">eingebaut, steuerbar</w:t>
            </w:r>
          </w:p>
        </w:tc>
        <w:tc>
          <w:tcPr>
            <w:tcW w:type="dxa" w:w="3363"/>
            <w:tcBorders>
              <w:top w:val="single" w:color="D6E4F0" w:sz="4"/>
              <w:left w:val="single" w:color="D6E4F0" w:sz="4"/>
              <w:bottom w:val="single" w:color="D6E4F0" w:sz="4"/>
              <w:right w:val="single" w:color="D6E4F0" w:sz="4"/>
            </w:tcBorders>
            <w:shd w:fill="FFFFFF" w:val="clear"/>
            <w:tcMar>
              <w:top w:type="dxa" w:w="70"/>
              <w:left w:type="dxa" w:w="120"/>
              <w:bottom w:type="dxa" w:w="70"/>
              <w:right w:type="dxa" w:w="120"/>
            </w:tcMar>
          </w:tcPr>
          <w:p>
            <w:r>
              <w:rPr>
                <w:rFonts w:ascii="Calibri" w:cs="Calibri" w:eastAsia="Calibri" w:hAnsi="Calibri"/>
                <w:b w:val="false"/>
                <w:bCs w:val="false"/>
                <w:color w:val="1A1A1A"/>
                <w:sz w:val="20"/>
                <w:szCs w:val="20"/>
              </w:rPr>
              <w:t xml:space="preserve">über Default-ACLs</w:t>
            </w:r>
          </w:p>
        </w:tc>
      </w:tr>
      <w:tr>
        <w:tc>
          <w:tcPr>
            <w:tcW w:type="dxa" w:w="2300"/>
            <w:tcBorders>
              <w:top w:val="single" w:color="D6E4F0" w:sz="4"/>
              <w:left w:val="single" w:color="D6E4F0" w:sz="4"/>
              <w:bottom w:val="single" w:color="D6E4F0" w:sz="4"/>
              <w:right w:val="single" w:color="D6E4F0" w:sz="4"/>
            </w:tcBorders>
            <w:shd w:fill="EEF5FB" w:val="clear"/>
            <w:tcMar>
              <w:top w:type="dxa" w:w="70"/>
              <w:left w:type="dxa" w:w="120"/>
              <w:bottom w:type="dxa" w:w="70"/>
              <w:right w:type="dxa" w:w="120"/>
            </w:tcMar>
          </w:tcPr>
          <w:p>
            <w:r>
              <w:rPr>
                <w:rFonts w:ascii="Calibri" w:cs="Calibri" w:eastAsia="Calibri" w:hAnsi="Calibri"/>
                <w:b/>
                <w:bCs/>
                <w:color w:val="1A1A1A"/>
                <w:sz w:val="20"/>
                <w:szCs w:val="20"/>
              </w:rPr>
              <w:t xml:space="preserve">Verweigern (Deny)</w:t>
            </w:r>
          </w:p>
        </w:tc>
        <w:tc>
          <w:tcPr>
            <w:tcW w:type="dxa" w:w="3363"/>
            <w:tcBorders>
              <w:top w:val="single" w:color="D6E4F0" w:sz="4"/>
              <w:left w:val="single" w:color="D6E4F0" w:sz="4"/>
              <w:bottom w:val="single" w:color="D6E4F0" w:sz="4"/>
              <w:right w:val="single" w:color="D6E4F0" w:sz="4"/>
            </w:tcBorders>
            <w:shd w:fill="EEF5FB" w:val="clear"/>
            <w:tcMar>
              <w:top w:type="dxa" w:w="70"/>
              <w:left w:type="dxa" w:w="120"/>
              <w:bottom w:type="dxa" w:w="70"/>
              <w:right w:type="dxa" w:w="120"/>
            </w:tcMar>
          </w:tcPr>
          <w:p>
            <w:r>
              <w:rPr>
                <w:rFonts w:ascii="Calibri" w:cs="Calibri" w:eastAsia="Calibri" w:hAnsi="Calibri"/>
                <w:b w:val="false"/>
                <w:bCs w:val="false"/>
                <w:color w:val="1A1A1A"/>
                <w:sz w:val="20"/>
                <w:szCs w:val="20"/>
              </w:rPr>
              <w:t xml:space="preserve">explizit, schlägt Allow</w:t>
            </w:r>
          </w:p>
        </w:tc>
        <w:tc>
          <w:tcPr>
            <w:tcW w:type="dxa" w:w="3363"/>
            <w:tcBorders>
              <w:top w:val="single" w:color="D6E4F0" w:sz="4"/>
              <w:left w:val="single" w:color="D6E4F0" w:sz="4"/>
              <w:bottom w:val="single" w:color="D6E4F0" w:sz="4"/>
              <w:right w:val="single" w:color="D6E4F0" w:sz="4"/>
            </w:tcBorders>
            <w:shd w:fill="EEF5FB" w:val="clear"/>
            <w:tcMar>
              <w:top w:type="dxa" w:w="70"/>
              <w:left w:type="dxa" w:w="120"/>
              <w:bottom w:type="dxa" w:w="70"/>
              <w:right w:type="dxa" w:w="120"/>
            </w:tcMar>
          </w:tcPr>
          <w:p>
            <w:r>
              <w:rPr>
                <w:rFonts w:ascii="Calibri" w:cs="Calibri" w:eastAsia="Calibri" w:hAnsi="Calibri"/>
                <w:b w:val="false"/>
                <w:bCs w:val="false"/>
                <w:color w:val="1A1A1A"/>
                <w:sz w:val="20"/>
                <w:szCs w:val="20"/>
              </w:rPr>
              <w:t xml:space="preserve">kein echtes Deny</w:t>
            </w:r>
          </w:p>
        </w:tc>
      </w:tr>
      <w:tr>
        <w:tc>
          <w:tcPr>
            <w:tcW w:type="dxa" w:w="2300"/>
            <w:tcBorders>
              <w:top w:val="single" w:color="D6E4F0" w:sz="4"/>
              <w:left w:val="single" w:color="D6E4F0" w:sz="4"/>
              <w:bottom w:val="single" w:color="D6E4F0" w:sz="4"/>
              <w:right w:val="single" w:color="D6E4F0" w:sz="4"/>
            </w:tcBorders>
            <w:shd w:fill="FFFFFF" w:val="clear"/>
            <w:tcMar>
              <w:top w:type="dxa" w:w="70"/>
              <w:left w:type="dxa" w:w="120"/>
              <w:bottom w:type="dxa" w:w="70"/>
              <w:right w:type="dxa" w:w="120"/>
            </w:tcMar>
          </w:tcPr>
          <w:p>
            <w:r>
              <w:rPr>
                <w:rFonts w:ascii="Calibri" w:cs="Calibri" w:eastAsia="Calibri" w:hAnsi="Calibri"/>
                <w:b/>
                <w:bCs/>
                <w:color w:val="1A1A1A"/>
                <w:sz w:val="20"/>
                <w:szCs w:val="20"/>
              </w:rPr>
              <w:t xml:space="preserve">Werkzeuge</w:t>
            </w:r>
          </w:p>
        </w:tc>
        <w:tc>
          <w:tcPr>
            <w:tcW w:type="dxa" w:w="3363"/>
            <w:tcBorders>
              <w:top w:val="single" w:color="D6E4F0" w:sz="4"/>
              <w:left w:val="single" w:color="D6E4F0" w:sz="4"/>
              <w:bottom w:val="single" w:color="D6E4F0" w:sz="4"/>
              <w:right w:val="single" w:color="D6E4F0" w:sz="4"/>
            </w:tcBorders>
            <w:shd w:fill="FFFFFF" w:val="clear"/>
            <w:tcMar>
              <w:top w:type="dxa" w:w="70"/>
              <w:left w:type="dxa" w:w="120"/>
              <w:bottom w:type="dxa" w:w="70"/>
              <w:right w:type="dxa" w:w="120"/>
            </w:tcMar>
          </w:tcPr>
          <w:p>
            <w:r>
              <w:rPr>
                <w:rFonts w:ascii="Calibri" w:cs="Calibri" w:eastAsia="Calibri" w:hAnsi="Calibri"/>
                <w:b w:val="false"/>
                <w:bCs w:val="false"/>
                <w:color w:val="1A1A1A"/>
                <w:sz w:val="20"/>
                <w:szCs w:val="20"/>
              </w:rPr>
              <w:t xml:space="preserve">Explorer, icacls</w:t>
            </w:r>
          </w:p>
        </w:tc>
        <w:tc>
          <w:tcPr>
            <w:tcW w:type="dxa" w:w="3363"/>
            <w:tcBorders>
              <w:top w:val="single" w:color="D6E4F0" w:sz="4"/>
              <w:left w:val="single" w:color="D6E4F0" w:sz="4"/>
              <w:bottom w:val="single" w:color="D6E4F0" w:sz="4"/>
              <w:right w:val="single" w:color="D6E4F0" w:sz="4"/>
            </w:tcBorders>
            <w:shd w:fill="FFFFFF" w:val="clear"/>
            <w:tcMar>
              <w:top w:type="dxa" w:w="70"/>
              <w:left w:type="dxa" w:w="120"/>
              <w:bottom w:type="dxa" w:w="70"/>
              <w:right w:type="dxa" w:w="120"/>
            </w:tcMar>
          </w:tcPr>
          <w:p>
            <w:r>
              <w:rPr>
                <w:rFonts w:ascii="Calibri" w:cs="Calibri" w:eastAsia="Calibri" w:hAnsi="Calibri"/>
                <w:b w:val="false"/>
                <w:bCs w:val="false"/>
                <w:color w:val="1A1A1A"/>
                <w:sz w:val="20"/>
                <w:szCs w:val="20"/>
              </w:rPr>
              <w:t xml:space="preserve">chmod/chown, setfacl</w:t>
            </w:r>
          </w:p>
        </w:tc>
      </w:tr>
      <w:tr>
        <w:tc>
          <w:tcPr>
            <w:tcW w:type="dxa" w:w="2300"/>
            <w:tcBorders>
              <w:top w:val="single" w:color="D6E4F0" w:sz="4"/>
              <w:left w:val="single" w:color="D6E4F0" w:sz="4"/>
              <w:bottom w:val="single" w:color="D6E4F0" w:sz="4"/>
              <w:right w:val="single" w:color="D6E4F0" w:sz="4"/>
            </w:tcBorders>
            <w:shd w:fill="EEF5FB" w:val="clear"/>
            <w:tcMar>
              <w:top w:type="dxa" w:w="70"/>
              <w:left w:type="dxa" w:w="120"/>
              <w:bottom w:type="dxa" w:w="70"/>
              <w:right w:type="dxa" w:w="120"/>
            </w:tcMar>
          </w:tcPr>
          <w:p>
            <w:r>
              <w:rPr>
                <w:rFonts w:ascii="Calibri" w:cs="Calibri" w:eastAsia="Calibri" w:hAnsi="Calibri"/>
                <w:b/>
                <w:bCs/>
                <w:color w:val="1A1A1A"/>
                <w:sz w:val="20"/>
                <w:szCs w:val="20"/>
              </w:rPr>
              <w:t xml:space="preserve">Netzfreigabe</w:t>
            </w:r>
          </w:p>
        </w:tc>
        <w:tc>
          <w:tcPr>
            <w:tcW w:type="dxa" w:w="3363"/>
            <w:tcBorders>
              <w:top w:val="single" w:color="D6E4F0" w:sz="4"/>
              <w:left w:val="single" w:color="D6E4F0" w:sz="4"/>
              <w:bottom w:val="single" w:color="D6E4F0" w:sz="4"/>
              <w:right w:val="single" w:color="D6E4F0" w:sz="4"/>
            </w:tcBorders>
            <w:shd w:fill="EEF5FB" w:val="clear"/>
            <w:tcMar>
              <w:top w:type="dxa" w:w="70"/>
              <w:left w:type="dxa" w:w="120"/>
              <w:bottom w:type="dxa" w:w="70"/>
              <w:right w:type="dxa" w:w="120"/>
            </w:tcMar>
          </w:tcPr>
          <w:p>
            <w:r>
              <w:rPr>
                <w:rFonts w:ascii="Calibri" w:cs="Calibri" w:eastAsia="Calibri" w:hAnsi="Calibri"/>
                <w:b w:val="false"/>
                <w:bCs w:val="false"/>
                <w:color w:val="1A1A1A"/>
                <w:sz w:val="20"/>
                <w:szCs w:val="20"/>
              </w:rPr>
              <w:t xml:space="preserve">SMB nativ</w:t>
            </w:r>
          </w:p>
        </w:tc>
        <w:tc>
          <w:tcPr>
            <w:tcW w:type="dxa" w:w="3363"/>
            <w:tcBorders>
              <w:top w:val="single" w:color="D6E4F0" w:sz="4"/>
              <w:left w:val="single" w:color="D6E4F0" w:sz="4"/>
              <w:bottom w:val="single" w:color="D6E4F0" w:sz="4"/>
              <w:right w:val="single" w:color="D6E4F0" w:sz="4"/>
            </w:tcBorders>
            <w:shd w:fill="EEF5FB" w:val="clear"/>
            <w:tcMar>
              <w:top w:type="dxa" w:w="70"/>
              <w:left w:type="dxa" w:w="120"/>
              <w:bottom w:type="dxa" w:w="70"/>
              <w:right w:type="dxa" w:w="120"/>
            </w:tcMar>
          </w:tcPr>
          <w:p>
            <w:r>
              <w:rPr>
                <w:rFonts w:ascii="Calibri" w:cs="Calibri" w:eastAsia="Calibri" w:hAnsi="Calibri"/>
                <w:b w:val="false"/>
                <w:bCs w:val="false"/>
                <w:color w:val="1A1A1A"/>
                <w:sz w:val="20"/>
                <w:szCs w:val="20"/>
              </w:rPr>
              <w:t xml:space="preserve">SMB über Samba</w:t>
            </w:r>
          </w:p>
        </w:tc>
      </w:tr>
    </w:tbl>
    <w:p>
      <w:pPr>
        <w:pStyle w:val="Heading1"/>
        <w:spacing w:after="140" w:before="320"/>
      </w:pPr>
      <w:r>
        <w:rPr>
          <w:rFonts w:ascii="Calibri" w:cs="Calibri" w:eastAsia="Calibri" w:hAnsi="Calibri"/>
          <w:b/>
          <w:bCs/>
          <w:color w:val="003366"/>
          <w:sz w:val="30"/>
          <w:szCs w:val="30"/>
        </w:rPr>
        <w:t xml:space="preserve">11  Best Practices &amp; typische Fehler</w:t>
      </w:r>
    </w:p>
    <w:p>
      <w:pPr>
        <w:pStyle w:val="Heading2"/>
        <w:spacing w:after="100" w:before="220"/>
      </w:pPr>
      <w:r>
        <w:rPr>
          <w:rFonts w:ascii="Calibri" w:cs="Calibri" w:eastAsia="Calibri" w:hAnsi="Calibri"/>
          <w:b/>
          <w:bCs/>
          <w:color w:val="0066AA"/>
          <w:sz w:val="25"/>
          <w:szCs w:val="25"/>
        </w:rPr>
        <w:t xml:space="preserve">Best Practices</w:t>
      </w:r>
    </w:p>
    <w:p>
      <w:pPr>
        <w:pStyle w:val="ListParagraph"/>
        <w:numPr>
          <w:ilvl w:val="0"/>
          <w:numId w:val="2"/>
        </w:numPr>
        <w:spacing w:after="70" w:line="270"/>
      </w:pPr>
      <w:r>
        <w:rPr>
          <w:rFonts w:ascii="Calibri" w:cs="Calibri" w:eastAsia="Calibri" w:hAnsi="Calibri"/>
          <w:color w:val="1A1A1A"/>
          <w:sz w:val="22"/>
          <w:szCs w:val="22"/>
        </w:rPr>
        <w:t xml:space="preserve">Rechte an Gruppen vergeben, nie an Einzelpersonen.</w:t>
      </w:r>
    </w:p>
    <w:p>
      <w:pPr>
        <w:pStyle w:val="ListParagraph"/>
        <w:numPr>
          <w:ilvl w:val="0"/>
          <w:numId w:val="2"/>
        </w:numPr>
        <w:spacing w:after="70" w:line="270"/>
      </w:pPr>
      <w:r>
        <w:rPr>
          <w:rFonts w:ascii="Calibri" w:cs="Calibri" w:eastAsia="Calibri" w:hAnsi="Calibri"/>
          <w:color w:val="1A1A1A"/>
          <w:sz w:val="22"/>
          <w:szCs w:val="22"/>
        </w:rPr>
        <w:t xml:space="preserve">AGDLP konsequent durchziehen.</w:t>
      </w:r>
    </w:p>
    <w:p>
      <w:pPr>
        <w:pStyle w:val="ListParagraph"/>
        <w:numPr>
          <w:ilvl w:val="0"/>
          <w:numId w:val="2"/>
        </w:numPr>
        <w:spacing w:after="70" w:line="270"/>
      </w:pPr>
      <w:r>
        <w:rPr>
          <w:rFonts w:ascii="Calibri" w:cs="Calibri" w:eastAsia="Calibri" w:hAnsi="Calibri"/>
          <w:color w:val="1A1A1A"/>
          <w:sz w:val="22"/>
          <w:szCs w:val="22"/>
        </w:rPr>
        <w:t xml:space="preserve">Freigabe großzügig, NTFS fein steuern.</w:t>
      </w:r>
    </w:p>
    <w:p>
      <w:pPr>
        <w:pStyle w:val="ListParagraph"/>
        <w:numPr>
          <w:ilvl w:val="0"/>
          <w:numId w:val="2"/>
        </w:numPr>
        <w:spacing w:after="70" w:line="270"/>
      </w:pPr>
      <w:r>
        <w:rPr>
          <w:rFonts w:ascii="Calibri" w:cs="Calibri" w:eastAsia="Calibri" w:hAnsi="Calibri"/>
          <w:color w:val="1A1A1A"/>
          <w:sz w:val="22"/>
          <w:szCs w:val="22"/>
        </w:rPr>
        <w:t xml:space="preserve">„Vollzugriff“ und „Verweigern“ nur sparsam einsetzen.</w:t>
      </w:r>
    </w:p>
    <w:p>
      <w:pPr>
        <w:pStyle w:val="Heading2"/>
        <w:spacing w:after="100" w:before="220"/>
      </w:pPr>
      <w:r>
        <w:rPr>
          <w:rFonts w:ascii="Calibri" w:cs="Calibri" w:eastAsia="Calibri" w:hAnsi="Calibri"/>
          <w:b/>
          <w:bCs/>
          <w:color w:val="0066AA"/>
          <w:sz w:val="25"/>
          <w:szCs w:val="25"/>
        </w:rPr>
        <w:t xml:space="preserve">Typische Fehler</w:t>
      </w:r>
    </w:p>
    <w:p>
      <w:pPr>
        <w:pStyle w:val="ListParagraph"/>
        <w:numPr>
          <w:ilvl w:val="0"/>
          <w:numId w:val="2"/>
        </w:numPr>
        <w:spacing w:after="70" w:line="270"/>
      </w:pPr>
      <w:r>
        <w:rPr>
          <w:rFonts w:ascii="Calibri" w:cs="Calibri" w:eastAsia="Calibri" w:hAnsi="Calibri"/>
          <w:color w:val="1A1A1A"/>
          <w:sz w:val="22"/>
          <w:szCs w:val="22"/>
        </w:rPr>
        <w:t xml:space="preserve">Auf der Freigabe „Jeder/Vollzugriff“ stehen lassen und nicht über NTFS einschränken.</w:t>
      </w:r>
    </w:p>
    <w:p>
      <w:pPr>
        <w:pStyle w:val="ListParagraph"/>
        <w:numPr>
          <w:ilvl w:val="0"/>
          <w:numId w:val="2"/>
        </w:numPr>
        <w:spacing w:after="70" w:line="270"/>
      </w:pPr>
      <w:r>
        <w:rPr>
          <w:rFonts w:ascii="Calibri" w:cs="Calibri" w:eastAsia="Calibri" w:hAnsi="Calibri"/>
          <w:color w:val="1A1A1A"/>
          <w:sz w:val="22"/>
          <w:szCs w:val="22"/>
        </w:rPr>
        <w:t xml:space="preserve">Rechte pro Person vergeben — führt zu Wildwuchs.</w:t>
      </w:r>
    </w:p>
    <w:p>
      <w:pPr>
        <w:pStyle w:val="ListParagraph"/>
        <w:numPr>
          <w:ilvl w:val="0"/>
          <w:numId w:val="2"/>
        </w:numPr>
        <w:spacing w:after="70" w:line="270"/>
      </w:pPr>
      <w:r>
        <w:rPr>
          <w:rFonts w:ascii="Calibri" w:cs="Calibri" w:eastAsia="Calibri" w:hAnsi="Calibri"/>
          <w:color w:val="1A1A1A"/>
          <w:sz w:val="22"/>
          <w:szCs w:val="22"/>
        </w:rPr>
        <w:t xml:space="preserve">Unbedachtes „Verweigern“ sperrt im Zweifel auch Administratoren aus.</w:t>
      </w:r>
    </w:p>
    <w:p>
      <w:pPr>
        <w:pStyle w:val="ListParagraph"/>
        <w:numPr>
          <w:ilvl w:val="0"/>
          <w:numId w:val="2"/>
        </w:numPr>
        <w:spacing w:after="70" w:line="270"/>
      </w:pPr>
      <w:r>
        <w:rPr>
          <w:rFonts w:ascii="Calibri" w:cs="Calibri" w:eastAsia="Calibri" w:hAnsi="Calibri"/>
          <w:color w:val="1A1A1A"/>
          <w:sz w:val="22"/>
          <w:szCs w:val="22"/>
        </w:rPr>
        <w:t xml:space="preserve">Vererbung gekappt und vergessen — der Zugriff ist plötzlich weg.</w:t>
      </w:r>
    </w:p>
    <w:p>
      <w:pPr>
        <w:pStyle w:val="Heading1"/>
        <w:spacing w:after="140" w:before="320"/>
      </w:pPr>
      <w:r>
        <w:rPr>
          <w:rFonts w:ascii="Calibri" w:cs="Calibri" w:eastAsia="Calibri" w:hAnsi="Calibri"/>
          <w:b/>
          <w:bCs/>
          <w:color w:val="003366"/>
          <w:sz w:val="30"/>
          <w:szCs w:val="30"/>
        </w:rPr>
        <w:t xml:space="preserve">Zusammenfassung</w:t>
      </w:r>
    </w:p>
    <w:p>
      <w:pPr>
        <w:spacing w:after="120" w:line="276"/>
      </w:pPr>
      <w:r>
        <w:rPr>
          <w:rFonts w:ascii="Calibri" w:cs="Calibri" w:eastAsia="Calibri" w:hAnsi="Calibri"/>
          <w:color w:val="1A1A1A"/>
          <w:sz w:val="22"/>
          <w:szCs w:val="22"/>
        </w:rPr>
        <w:t xml:space="preserve">Ein Dateiserver stellt Ordner per SMB bereit. Der Zugriff durchläuft Freigabe- und NTFS-Ebene; wirksam ist die restriktivste, wobei ein Verweigern stets gewinnt und explizite Rechte geerbte schlagen. Mit AGDLP bleibt die Rechtevergabe wartbar: Account → Global → Domain Local → Permission. Druckdienste folgen demselben Gruppenprinzip. Unter Linux erreichen POSIX-Rechte, erweiterte ACLs und Samba dieselben Ziele mit anderen Werkzeugen.</w:t>
      </w:r>
    </w:p>
    <w:p>
      <w:pPr>
        <w:pStyle w:val="Heading1"/>
        <w:spacing w:after="140" w:before="320"/>
      </w:pPr>
      <w:r>
        <w:rPr>
          <w:rFonts w:ascii="Calibri" w:cs="Calibri" w:eastAsia="Calibri" w:hAnsi="Calibri"/>
          <w:b/>
          <w:bCs/>
          <w:color w:val="003366"/>
          <w:sz w:val="30"/>
          <w:szCs w:val="30"/>
        </w:rPr>
        <w:t xml:space="preserve">Glossar / Abkürzungen</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2700"/>
        <w:gridCol w:w="6326"/>
      </w:tblGrid>
      <w:tr>
        <w:trPr>
          <w:tblHeader/>
        </w:trPr>
        <w:tc>
          <w:tcPr>
            <w:tcW w:type="dxa" w:w="2700"/>
            <w:tcBorders>
              <w:top w:val="single" w:color="D6E4F0" w:sz="4"/>
              <w:left w:val="single" w:color="D6E4F0" w:sz="4"/>
              <w:bottom w:val="single" w:color="D6E4F0" w:sz="4"/>
              <w:right w:val="single" w:color="D6E4F0" w:sz="4"/>
            </w:tcBorders>
            <w:shd w:fill="003366" w:val="clear"/>
            <w:tcMar>
              <w:top w:type="dxa" w:w="80"/>
              <w:left w:type="dxa" w:w="120"/>
              <w:bottom w:type="dxa" w:w="80"/>
              <w:right w:type="dxa" w:w="120"/>
            </w:tcMar>
          </w:tcPr>
          <w:p>
            <w:r>
              <w:rPr>
                <w:rFonts w:ascii="Calibri" w:cs="Calibri" w:eastAsia="Calibri" w:hAnsi="Calibri"/>
                <w:b/>
                <w:bCs/>
                <w:color w:val="FFFFFF"/>
                <w:sz w:val="21"/>
                <w:szCs w:val="21"/>
              </w:rPr>
              <w:t xml:space="preserve">Begriff</w:t>
            </w:r>
          </w:p>
        </w:tc>
        <w:tc>
          <w:tcPr>
            <w:tcW w:type="dxa" w:w="6326"/>
            <w:tcBorders>
              <w:top w:val="single" w:color="D6E4F0" w:sz="4"/>
              <w:left w:val="single" w:color="D6E4F0" w:sz="4"/>
              <w:bottom w:val="single" w:color="D6E4F0" w:sz="4"/>
              <w:right w:val="single" w:color="D6E4F0" w:sz="4"/>
            </w:tcBorders>
            <w:shd w:fill="003366" w:val="clear"/>
            <w:tcMar>
              <w:top w:type="dxa" w:w="80"/>
              <w:left w:type="dxa" w:w="120"/>
              <w:bottom w:type="dxa" w:w="80"/>
              <w:right w:type="dxa" w:w="120"/>
            </w:tcMar>
          </w:tcPr>
          <w:p>
            <w:r>
              <w:rPr>
                <w:rFonts w:ascii="Calibri" w:cs="Calibri" w:eastAsia="Calibri" w:hAnsi="Calibri"/>
                <w:b/>
                <w:bCs/>
                <w:color w:val="FFFFFF"/>
                <w:sz w:val="21"/>
                <w:szCs w:val="21"/>
              </w:rPr>
              <w:t xml:space="preserve">Bedeutung</w:t>
            </w:r>
          </w:p>
        </w:tc>
      </w:tr>
      <w:tr>
        <w:tc>
          <w:tcPr>
            <w:tcW w:type="dxa" w:w="2700"/>
            <w:tcBorders>
              <w:top w:val="single" w:color="D6E4F0" w:sz="4"/>
              <w:left w:val="single" w:color="D6E4F0" w:sz="4"/>
              <w:bottom w:val="single" w:color="D6E4F0" w:sz="4"/>
              <w:right w:val="single" w:color="D6E4F0" w:sz="4"/>
            </w:tcBorders>
            <w:shd w:fill="EEF5FB" w:val="clear"/>
            <w:tcMar>
              <w:top w:type="dxa" w:w="70"/>
              <w:left w:type="dxa" w:w="120"/>
              <w:bottom w:type="dxa" w:w="70"/>
              <w:right w:type="dxa" w:w="120"/>
            </w:tcMar>
          </w:tcPr>
          <w:p>
            <w:r>
              <w:rPr>
                <w:rFonts w:ascii="Calibri" w:cs="Calibri" w:eastAsia="Calibri" w:hAnsi="Calibri"/>
                <w:b/>
                <w:bCs/>
                <w:color w:val="1A1A1A"/>
                <w:sz w:val="20"/>
                <w:szCs w:val="20"/>
              </w:rPr>
              <w:t xml:space="preserve">SMB</w:t>
            </w:r>
          </w:p>
        </w:tc>
        <w:tc>
          <w:tcPr>
            <w:tcW w:type="dxa" w:w="6326"/>
            <w:tcBorders>
              <w:top w:val="single" w:color="D6E4F0" w:sz="4"/>
              <w:left w:val="single" w:color="D6E4F0" w:sz="4"/>
              <w:bottom w:val="single" w:color="D6E4F0" w:sz="4"/>
              <w:right w:val="single" w:color="D6E4F0" w:sz="4"/>
            </w:tcBorders>
            <w:shd w:fill="EEF5FB" w:val="clear"/>
            <w:tcMar>
              <w:top w:type="dxa" w:w="70"/>
              <w:left w:type="dxa" w:w="120"/>
              <w:bottom w:type="dxa" w:w="70"/>
              <w:right w:type="dxa" w:w="120"/>
            </w:tcMar>
          </w:tcPr>
          <w:p>
            <w:r>
              <w:rPr>
                <w:rFonts w:ascii="Calibri" w:cs="Calibri" w:eastAsia="Calibri" w:hAnsi="Calibri"/>
                <w:b w:val="false"/>
                <w:bCs w:val="false"/>
                <w:color w:val="1A1A1A"/>
                <w:sz w:val="20"/>
                <w:szCs w:val="20"/>
              </w:rPr>
              <w:t xml:space="preserve">Server Message Block — Protokoll für Datei-/Druckfreigaben</w:t>
            </w:r>
          </w:p>
        </w:tc>
      </w:tr>
      <w:tr>
        <w:tc>
          <w:tcPr>
            <w:tcW w:type="dxa" w:w="2700"/>
            <w:tcBorders>
              <w:top w:val="single" w:color="D6E4F0" w:sz="4"/>
              <w:left w:val="single" w:color="D6E4F0" w:sz="4"/>
              <w:bottom w:val="single" w:color="D6E4F0" w:sz="4"/>
              <w:right w:val="single" w:color="D6E4F0" w:sz="4"/>
            </w:tcBorders>
            <w:shd w:fill="FFFFFF" w:val="clear"/>
            <w:tcMar>
              <w:top w:type="dxa" w:w="70"/>
              <w:left w:type="dxa" w:w="120"/>
              <w:bottom w:type="dxa" w:w="70"/>
              <w:right w:type="dxa" w:w="120"/>
            </w:tcMar>
          </w:tcPr>
          <w:p>
            <w:r>
              <w:rPr>
                <w:rFonts w:ascii="Calibri" w:cs="Calibri" w:eastAsia="Calibri" w:hAnsi="Calibri"/>
                <w:b/>
                <w:bCs/>
                <w:color w:val="1A1A1A"/>
                <w:sz w:val="20"/>
                <w:szCs w:val="20"/>
              </w:rPr>
              <w:t xml:space="preserve">Freigabe (Share)</w:t>
            </w:r>
          </w:p>
        </w:tc>
        <w:tc>
          <w:tcPr>
            <w:tcW w:type="dxa" w:w="6326"/>
            <w:tcBorders>
              <w:top w:val="single" w:color="D6E4F0" w:sz="4"/>
              <w:left w:val="single" w:color="D6E4F0" w:sz="4"/>
              <w:bottom w:val="single" w:color="D6E4F0" w:sz="4"/>
              <w:right w:val="single" w:color="D6E4F0" w:sz="4"/>
            </w:tcBorders>
            <w:shd w:fill="FFFFFF" w:val="clear"/>
            <w:tcMar>
              <w:top w:type="dxa" w:w="70"/>
              <w:left w:type="dxa" w:w="120"/>
              <w:bottom w:type="dxa" w:w="70"/>
              <w:right w:type="dxa" w:w="120"/>
            </w:tcMar>
          </w:tcPr>
          <w:p>
            <w:r>
              <w:rPr>
                <w:rFonts w:ascii="Calibri" w:cs="Calibri" w:eastAsia="Calibri" w:hAnsi="Calibri"/>
                <w:b w:val="false"/>
                <w:bCs w:val="false"/>
                <w:color w:val="1A1A1A"/>
                <w:sz w:val="20"/>
                <w:szCs w:val="20"/>
              </w:rPr>
              <w:t xml:space="preserve">im Netz sichtbar gemachter Ordner</w:t>
            </w:r>
          </w:p>
        </w:tc>
      </w:tr>
      <w:tr>
        <w:tc>
          <w:tcPr>
            <w:tcW w:type="dxa" w:w="2700"/>
            <w:tcBorders>
              <w:top w:val="single" w:color="D6E4F0" w:sz="4"/>
              <w:left w:val="single" w:color="D6E4F0" w:sz="4"/>
              <w:bottom w:val="single" w:color="D6E4F0" w:sz="4"/>
              <w:right w:val="single" w:color="D6E4F0" w:sz="4"/>
            </w:tcBorders>
            <w:shd w:fill="EEF5FB" w:val="clear"/>
            <w:tcMar>
              <w:top w:type="dxa" w:w="70"/>
              <w:left w:type="dxa" w:w="120"/>
              <w:bottom w:type="dxa" w:w="70"/>
              <w:right w:type="dxa" w:w="120"/>
            </w:tcMar>
          </w:tcPr>
          <w:p>
            <w:r>
              <w:rPr>
                <w:rFonts w:ascii="Calibri" w:cs="Calibri" w:eastAsia="Calibri" w:hAnsi="Calibri"/>
                <w:b/>
                <w:bCs/>
                <w:color w:val="1A1A1A"/>
                <w:sz w:val="20"/>
                <w:szCs w:val="20"/>
              </w:rPr>
              <w:t xml:space="preserve">UNC</w:t>
            </w:r>
          </w:p>
        </w:tc>
        <w:tc>
          <w:tcPr>
            <w:tcW w:type="dxa" w:w="6326"/>
            <w:tcBorders>
              <w:top w:val="single" w:color="D6E4F0" w:sz="4"/>
              <w:left w:val="single" w:color="D6E4F0" w:sz="4"/>
              <w:bottom w:val="single" w:color="D6E4F0" w:sz="4"/>
              <w:right w:val="single" w:color="D6E4F0" w:sz="4"/>
            </w:tcBorders>
            <w:shd w:fill="EEF5FB" w:val="clear"/>
            <w:tcMar>
              <w:top w:type="dxa" w:w="70"/>
              <w:left w:type="dxa" w:w="120"/>
              <w:bottom w:type="dxa" w:w="70"/>
              <w:right w:type="dxa" w:w="120"/>
            </w:tcMar>
          </w:tcPr>
          <w:p>
            <w:r>
              <w:rPr>
                <w:rFonts w:ascii="Calibri" w:cs="Calibri" w:eastAsia="Calibri" w:hAnsi="Calibri"/>
                <w:b w:val="false"/>
                <w:bCs w:val="false"/>
                <w:color w:val="1A1A1A"/>
                <w:sz w:val="20"/>
                <w:szCs w:val="20"/>
              </w:rPr>
              <w:t xml:space="preserve">Pfadform \\server\freigabe</w:t>
            </w:r>
          </w:p>
        </w:tc>
      </w:tr>
      <w:tr>
        <w:tc>
          <w:tcPr>
            <w:tcW w:type="dxa" w:w="2700"/>
            <w:tcBorders>
              <w:top w:val="single" w:color="D6E4F0" w:sz="4"/>
              <w:left w:val="single" w:color="D6E4F0" w:sz="4"/>
              <w:bottom w:val="single" w:color="D6E4F0" w:sz="4"/>
              <w:right w:val="single" w:color="D6E4F0" w:sz="4"/>
            </w:tcBorders>
            <w:shd w:fill="FFFFFF" w:val="clear"/>
            <w:tcMar>
              <w:top w:type="dxa" w:w="70"/>
              <w:left w:type="dxa" w:w="120"/>
              <w:bottom w:type="dxa" w:w="70"/>
              <w:right w:type="dxa" w:w="120"/>
            </w:tcMar>
          </w:tcPr>
          <w:p>
            <w:r>
              <w:rPr>
                <w:rFonts w:ascii="Calibri" w:cs="Calibri" w:eastAsia="Calibri" w:hAnsi="Calibri"/>
                <w:b/>
                <w:bCs/>
                <w:color w:val="1A1A1A"/>
                <w:sz w:val="20"/>
                <w:szCs w:val="20"/>
              </w:rPr>
              <w:t xml:space="preserve">NTFS-Recht</w:t>
            </w:r>
          </w:p>
        </w:tc>
        <w:tc>
          <w:tcPr>
            <w:tcW w:type="dxa" w:w="6326"/>
            <w:tcBorders>
              <w:top w:val="single" w:color="D6E4F0" w:sz="4"/>
              <w:left w:val="single" w:color="D6E4F0" w:sz="4"/>
              <w:bottom w:val="single" w:color="D6E4F0" w:sz="4"/>
              <w:right w:val="single" w:color="D6E4F0" w:sz="4"/>
            </w:tcBorders>
            <w:shd w:fill="FFFFFF" w:val="clear"/>
            <w:tcMar>
              <w:top w:type="dxa" w:w="70"/>
              <w:left w:type="dxa" w:w="120"/>
              <w:bottom w:type="dxa" w:w="70"/>
              <w:right w:type="dxa" w:w="120"/>
            </w:tcMar>
          </w:tcPr>
          <w:p>
            <w:r>
              <w:rPr>
                <w:rFonts w:ascii="Calibri" w:cs="Calibri" w:eastAsia="Calibri" w:hAnsi="Calibri"/>
                <w:b w:val="false"/>
                <w:bCs w:val="false"/>
                <w:color w:val="1A1A1A"/>
                <w:sz w:val="20"/>
                <w:szCs w:val="20"/>
              </w:rPr>
              <w:t xml:space="preserve">feingranulare Zugriffssteuerung auf Datei-/Ordnerebene</w:t>
            </w:r>
          </w:p>
        </w:tc>
      </w:tr>
      <w:tr>
        <w:tc>
          <w:tcPr>
            <w:tcW w:type="dxa" w:w="2700"/>
            <w:tcBorders>
              <w:top w:val="single" w:color="D6E4F0" w:sz="4"/>
              <w:left w:val="single" w:color="D6E4F0" w:sz="4"/>
              <w:bottom w:val="single" w:color="D6E4F0" w:sz="4"/>
              <w:right w:val="single" w:color="D6E4F0" w:sz="4"/>
            </w:tcBorders>
            <w:shd w:fill="EEF5FB" w:val="clear"/>
            <w:tcMar>
              <w:top w:type="dxa" w:w="70"/>
              <w:left w:type="dxa" w:w="120"/>
              <w:bottom w:type="dxa" w:w="70"/>
              <w:right w:type="dxa" w:w="120"/>
            </w:tcMar>
          </w:tcPr>
          <w:p>
            <w:r>
              <w:rPr>
                <w:rFonts w:ascii="Calibri" w:cs="Calibri" w:eastAsia="Calibri" w:hAnsi="Calibri"/>
                <w:b/>
                <w:bCs/>
                <w:color w:val="1A1A1A"/>
                <w:sz w:val="20"/>
                <w:szCs w:val="20"/>
              </w:rPr>
              <w:t xml:space="preserve">effektive Berechtigung</w:t>
            </w:r>
          </w:p>
        </w:tc>
        <w:tc>
          <w:tcPr>
            <w:tcW w:type="dxa" w:w="6326"/>
            <w:tcBorders>
              <w:top w:val="single" w:color="D6E4F0" w:sz="4"/>
              <w:left w:val="single" w:color="D6E4F0" w:sz="4"/>
              <w:bottom w:val="single" w:color="D6E4F0" w:sz="4"/>
              <w:right w:val="single" w:color="D6E4F0" w:sz="4"/>
            </w:tcBorders>
            <w:shd w:fill="EEF5FB" w:val="clear"/>
            <w:tcMar>
              <w:top w:type="dxa" w:w="70"/>
              <w:left w:type="dxa" w:w="120"/>
              <w:bottom w:type="dxa" w:w="70"/>
              <w:right w:type="dxa" w:w="120"/>
            </w:tcMar>
          </w:tcPr>
          <w:p>
            <w:r>
              <w:rPr>
                <w:rFonts w:ascii="Calibri" w:cs="Calibri" w:eastAsia="Calibri" w:hAnsi="Calibri"/>
                <w:b w:val="false"/>
                <w:bCs w:val="false"/>
                <w:color w:val="1A1A1A"/>
                <w:sz w:val="20"/>
                <w:szCs w:val="20"/>
              </w:rPr>
              <w:t xml:space="preserve">tatsächlich wirksames Recht aus allen Ebenen</w:t>
            </w:r>
          </w:p>
        </w:tc>
      </w:tr>
      <w:tr>
        <w:tc>
          <w:tcPr>
            <w:tcW w:type="dxa" w:w="2700"/>
            <w:tcBorders>
              <w:top w:val="single" w:color="D6E4F0" w:sz="4"/>
              <w:left w:val="single" w:color="D6E4F0" w:sz="4"/>
              <w:bottom w:val="single" w:color="D6E4F0" w:sz="4"/>
              <w:right w:val="single" w:color="D6E4F0" w:sz="4"/>
            </w:tcBorders>
            <w:shd w:fill="FFFFFF" w:val="clear"/>
            <w:tcMar>
              <w:top w:type="dxa" w:w="70"/>
              <w:left w:type="dxa" w:w="120"/>
              <w:bottom w:type="dxa" w:w="70"/>
              <w:right w:type="dxa" w:w="120"/>
            </w:tcMar>
          </w:tcPr>
          <w:p>
            <w:r>
              <w:rPr>
                <w:rFonts w:ascii="Calibri" w:cs="Calibri" w:eastAsia="Calibri" w:hAnsi="Calibri"/>
                <w:b/>
                <w:bCs/>
                <w:color w:val="1A1A1A"/>
                <w:sz w:val="20"/>
                <w:szCs w:val="20"/>
              </w:rPr>
              <w:t xml:space="preserve">AGDLP</w:t>
            </w:r>
          </w:p>
        </w:tc>
        <w:tc>
          <w:tcPr>
            <w:tcW w:type="dxa" w:w="6326"/>
            <w:tcBorders>
              <w:top w:val="single" w:color="D6E4F0" w:sz="4"/>
              <w:left w:val="single" w:color="D6E4F0" w:sz="4"/>
              <w:bottom w:val="single" w:color="D6E4F0" w:sz="4"/>
              <w:right w:val="single" w:color="D6E4F0" w:sz="4"/>
            </w:tcBorders>
            <w:shd w:fill="FFFFFF" w:val="clear"/>
            <w:tcMar>
              <w:top w:type="dxa" w:w="70"/>
              <w:left w:type="dxa" w:w="120"/>
              <w:bottom w:type="dxa" w:w="70"/>
              <w:right w:type="dxa" w:w="120"/>
            </w:tcMar>
          </w:tcPr>
          <w:p>
            <w:r>
              <w:rPr>
                <w:rFonts w:ascii="Calibri" w:cs="Calibri" w:eastAsia="Calibri" w:hAnsi="Calibri"/>
                <w:b w:val="false"/>
                <w:bCs w:val="false"/>
                <w:color w:val="1A1A1A"/>
                <w:sz w:val="20"/>
                <w:szCs w:val="20"/>
              </w:rPr>
              <w:t xml:space="preserve">Account, Global, Domain Local, Permission</w:t>
            </w:r>
          </w:p>
        </w:tc>
      </w:tr>
      <w:tr>
        <w:tc>
          <w:tcPr>
            <w:tcW w:type="dxa" w:w="2700"/>
            <w:tcBorders>
              <w:top w:val="single" w:color="D6E4F0" w:sz="4"/>
              <w:left w:val="single" w:color="D6E4F0" w:sz="4"/>
              <w:bottom w:val="single" w:color="D6E4F0" w:sz="4"/>
              <w:right w:val="single" w:color="D6E4F0" w:sz="4"/>
            </w:tcBorders>
            <w:shd w:fill="EEF5FB" w:val="clear"/>
            <w:tcMar>
              <w:top w:type="dxa" w:w="70"/>
              <w:left w:type="dxa" w:w="120"/>
              <w:bottom w:type="dxa" w:w="70"/>
              <w:right w:type="dxa" w:w="120"/>
            </w:tcMar>
          </w:tcPr>
          <w:p>
            <w:r>
              <w:rPr>
                <w:rFonts w:ascii="Calibri" w:cs="Calibri" w:eastAsia="Calibri" w:hAnsi="Calibri"/>
                <w:b/>
                <w:bCs/>
                <w:color w:val="1A1A1A"/>
                <w:sz w:val="20"/>
                <w:szCs w:val="20"/>
              </w:rPr>
              <w:t xml:space="preserve">Vererbung</w:t>
            </w:r>
          </w:p>
        </w:tc>
        <w:tc>
          <w:tcPr>
            <w:tcW w:type="dxa" w:w="6326"/>
            <w:tcBorders>
              <w:top w:val="single" w:color="D6E4F0" w:sz="4"/>
              <w:left w:val="single" w:color="D6E4F0" w:sz="4"/>
              <w:bottom w:val="single" w:color="D6E4F0" w:sz="4"/>
              <w:right w:val="single" w:color="D6E4F0" w:sz="4"/>
            </w:tcBorders>
            <w:shd w:fill="EEF5FB" w:val="clear"/>
            <w:tcMar>
              <w:top w:type="dxa" w:w="70"/>
              <w:left w:type="dxa" w:w="120"/>
              <w:bottom w:type="dxa" w:w="70"/>
              <w:right w:type="dxa" w:w="120"/>
            </w:tcMar>
          </w:tcPr>
          <w:p>
            <w:r>
              <w:rPr>
                <w:rFonts w:ascii="Calibri" w:cs="Calibri" w:eastAsia="Calibri" w:hAnsi="Calibri"/>
                <w:b w:val="false"/>
                <w:bCs w:val="false"/>
                <w:color w:val="1A1A1A"/>
                <w:sz w:val="20"/>
                <w:szCs w:val="20"/>
              </w:rPr>
              <w:t xml:space="preserve">Weitergabe von Rechten an Unterobjekte</w:t>
            </w:r>
          </w:p>
        </w:tc>
      </w:tr>
      <w:tr>
        <w:tc>
          <w:tcPr>
            <w:tcW w:type="dxa" w:w="2700"/>
            <w:tcBorders>
              <w:top w:val="single" w:color="D6E4F0" w:sz="4"/>
              <w:left w:val="single" w:color="D6E4F0" w:sz="4"/>
              <w:bottom w:val="single" w:color="D6E4F0" w:sz="4"/>
              <w:right w:val="single" w:color="D6E4F0" w:sz="4"/>
            </w:tcBorders>
            <w:shd w:fill="FFFFFF" w:val="clear"/>
            <w:tcMar>
              <w:top w:type="dxa" w:w="70"/>
              <w:left w:type="dxa" w:w="120"/>
              <w:bottom w:type="dxa" w:w="70"/>
              <w:right w:type="dxa" w:w="120"/>
            </w:tcMar>
          </w:tcPr>
          <w:p>
            <w:r>
              <w:rPr>
                <w:rFonts w:ascii="Calibri" w:cs="Calibri" w:eastAsia="Calibri" w:hAnsi="Calibri"/>
                <w:b/>
                <w:bCs/>
                <w:color w:val="1A1A1A"/>
                <w:sz w:val="20"/>
                <w:szCs w:val="20"/>
              </w:rPr>
              <w:t xml:space="preserve">POSIX-Recht</w:t>
            </w:r>
          </w:p>
        </w:tc>
        <w:tc>
          <w:tcPr>
            <w:tcW w:type="dxa" w:w="6326"/>
            <w:tcBorders>
              <w:top w:val="single" w:color="D6E4F0" w:sz="4"/>
              <w:left w:val="single" w:color="D6E4F0" w:sz="4"/>
              <w:bottom w:val="single" w:color="D6E4F0" w:sz="4"/>
              <w:right w:val="single" w:color="D6E4F0" w:sz="4"/>
            </w:tcBorders>
            <w:shd w:fill="FFFFFF" w:val="clear"/>
            <w:tcMar>
              <w:top w:type="dxa" w:w="70"/>
              <w:left w:type="dxa" w:w="120"/>
              <w:bottom w:type="dxa" w:w="70"/>
              <w:right w:type="dxa" w:w="120"/>
            </w:tcMar>
          </w:tcPr>
          <w:p>
            <w:r>
              <w:rPr>
                <w:rFonts w:ascii="Calibri" w:cs="Calibri" w:eastAsia="Calibri" w:hAnsi="Calibri"/>
                <w:b w:val="false"/>
                <w:bCs w:val="false"/>
                <w:color w:val="1A1A1A"/>
                <w:sz w:val="20"/>
                <w:szCs w:val="20"/>
              </w:rPr>
              <w:t xml:space="preserve">rwx für Besitzer/Gruppe/Andere</w:t>
            </w:r>
          </w:p>
        </w:tc>
      </w:tr>
      <w:tr>
        <w:tc>
          <w:tcPr>
            <w:tcW w:type="dxa" w:w="2700"/>
            <w:tcBorders>
              <w:top w:val="single" w:color="D6E4F0" w:sz="4"/>
              <w:left w:val="single" w:color="D6E4F0" w:sz="4"/>
              <w:bottom w:val="single" w:color="D6E4F0" w:sz="4"/>
              <w:right w:val="single" w:color="D6E4F0" w:sz="4"/>
            </w:tcBorders>
            <w:shd w:fill="EEF5FB" w:val="clear"/>
            <w:tcMar>
              <w:top w:type="dxa" w:w="70"/>
              <w:left w:type="dxa" w:w="120"/>
              <w:bottom w:type="dxa" w:w="70"/>
              <w:right w:type="dxa" w:w="120"/>
            </w:tcMar>
          </w:tcPr>
          <w:p>
            <w:r>
              <w:rPr>
                <w:rFonts w:ascii="Calibri" w:cs="Calibri" w:eastAsia="Calibri" w:hAnsi="Calibri"/>
                <w:b/>
                <w:bCs/>
                <w:color w:val="1A1A1A"/>
                <w:sz w:val="20"/>
                <w:szCs w:val="20"/>
              </w:rPr>
              <w:t xml:space="preserve">ACL</w:t>
            </w:r>
          </w:p>
        </w:tc>
        <w:tc>
          <w:tcPr>
            <w:tcW w:type="dxa" w:w="6326"/>
            <w:tcBorders>
              <w:top w:val="single" w:color="D6E4F0" w:sz="4"/>
              <w:left w:val="single" w:color="D6E4F0" w:sz="4"/>
              <w:bottom w:val="single" w:color="D6E4F0" w:sz="4"/>
              <w:right w:val="single" w:color="D6E4F0" w:sz="4"/>
            </w:tcBorders>
            <w:shd w:fill="EEF5FB" w:val="clear"/>
            <w:tcMar>
              <w:top w:type="dxa" w:w="70"/>
              <w:left w:type="dxa" w:w="120"/>
              <w:bottom w:type="dxa" w:w="70"/>
              <w:right w:type="dxa" w:w="120"/>
            </w:tcMar>
          </w:tcPr>
          <w:p>
            <w:r>
              <w:rPr>
                <w:rFonts w:ascii="Calibri" w:cs="Calibri" w:eastAsia="Calibri" w:hAnsi="Calibri"/>
                <w:b w:val="false"/>
                <w:bCs w:val="false"/>
                <w:color w:val="1A1A1A"/>
                <w:sz w:val="20"/>
                <w:szCs w:val="20"/>
              </w:rPr>
              <w:t xml:space="preserve">Access Control List — erweiterte Rechteliste</w:t>
            </w:r>
          </w:p>
        </w:tc>
      </w:tr>
      <w:tr>
        <w:tc>
          <w:tcPr>
            <w:tcW w:type="dxa" w:w="2700"/>
            <w:tcBorders>
              <w:top w:val="single" w:color="D6E4F0" w:sz="4"/>
              <w:left w:val="single" w:color="D6E4F0" w:sz="4"/>
              <w:bottom w:val="single" w:color="D6E4F0" w:sz="4"/>
              <w:right w:val="single" w:color="D6E4F0" w:sz="4"/>
            </w:tcBorders>
            <w:shd w:fill="FFFFFF" w:val="clear"/>
            <w:tcMar>
              <w:top w:type="dxa" w:w="70"/>
              <w:left w:type="dxa" w:w="120"/>
              <w:bottom w:type="dxa" w:w="70"/>
              <w:right w:type="dxa" w:w="120"/>
            </w:tcMar>
          </w:tcPr>
          <w:p>
            <w:r>
              <w:rPr>
                <w:rFonts w:ascii="Calibri" w:cs="Calibri" w:eastAsia="Calibri" w:hAnsi="Calibri"/>
                <w:b/>
                <w:bCs/>
                <w:color w:val="1A1A1A"/>
                <w:sz w:val="20"/>
                <w:szCs w:val="20"/>
              </w:rPr>
              <w:t xml:space="preserve">Samba</w:t>
            </w:r>
          </w:p>
        </w:tc>
        <w:tc>
          <w:tcPr>
            <w:tcW w:type="dxa" w:w="6326"/>
            <w:tcBorders>
              <w:top w:val="single" w:color="D6E4F0" w:sz="4"/>
              <w:left w:val="single" w:color="D6E4F0" w:sz="4"/>
              <w:bottom w:val="single" w:color="D6E4F0" w:sz="4"/>
              <w:right w:val="single" w:color="D6E4F0" w:sz="4"/>
            </w:tcBorders>
            <w:shd w:fill="FFFFFF" w:val="clear"/>
            <w:tcMar>
              <w:top w:type="dxa" w:w="70"/>
              <w:left w:type="dxa" w:w="120"/>
              <w:bottom w:type="dxa" w:w="70"/>
              <w:right w:type="dxa" w:w="120"/>
            </w:tcMar>
          </w:tcPr>
          <w:p>
            <w:r>
              <w:rPr>
                <w:rFonts w:ascii="Calibri" w:cs="Calibri" w:eastAsia="Calibri" w:hAnsi="Calibri"/>
                <w:b w:val="false"/>
                <w:bCs w:val="false"/>
                <w:color w:val="1A1A1A"/>
                <w:sz w:val="20"/>
                <w:szCs w:val="20"/>
              </w:rPr>
              <w:t xml:space="preserve">stellt Linux-Ordner als SMB-Freigabe bereit</w:t>
            </w:r>
          </w:p>
        </w:tc>
      </w:tr>
    </w:tbl>
    <w:p>
      <w:pPr>
        <w:pStyle w:val="Heading1"/>
        <w:spacing w:after="140" w:before="320"/>
      </w:pPr>
      <w:r>
        <w:rPr>
          <w:rFonts w:ascii="Calibri" w:cs="Calibri" w:eastAsia="Calibri" w:hAnsi="Calibri"/>
          <w:b/>
          <w:bCs/>
          <w:color w:val="003366"/>
          <w:sz w:val="30"/>
          <w:szCs w:val="30"/>
        </w:rPr>
        <w:t xml:space="preserve">Kontrollfragen zur Selbstüberprüfung</w:t>
      </w:r>
    </w:p>
    <w:p>
      <w:pPr>
        <w:pStyle w:val="ListParagraph"/>
        <w:numPr>
          <w:ilvl w:val="0"/>
          <w:numId w:val="3"/>
        </w:numPr>
        <w:spacing w:after="90" w:line="270"/>
      </w:pPr>
      <w:r>
        <w:rPr>
          <w:rFonts w:ascii="Calibri" w:cs="Calibri" w:eastAsia="Calibri" w:hAnsi="Calibri"/>
          <w:color w:val="1A1A1A"/>
          <w:sz w:val="22"/>
          <w:szCs w:val="22"/>
        </w:rPr>
        <w:t xml:space="preserve">Erklären Sie den Unterschied zwischen Freigabe- und NTFS-Berechtigung. Welche gilt beim Netzwerkzugriff?</w:t>
      </w:r>
    </w:p>
    <w:p>
      <w:pPr>
        <w:pStyle w:val="ListParagraph"/>
        <w:numPr>
          <w:ilvl w:val="0"/>
          <w:numId w:val="3"/>
        </w:numPr>
        <w:spacing w:after="90" w:line="270"/>
      </w:pPr>
      <w:r>
        <w:rPr>
          <w:rFonts w:ascii="Calibri" w:cs="Calibri" w:eastAsia="Calibri" w:hAnsi="Calibri"/>
          <w:color w:val="1A1A1A"/>
          <w:sz w:val="22"/>
          <w:szCs w:val="22"/>
        </w:rPr>
        <w:t xml:space="preserve">Ein Benutzer hat per NTFS „Ändern“, die Freigabe erlaubt nur „Lesen“. Was darf er über das Netzwerk?</w:t>
      </w:r>
    </w:p>
    <w:p>
      <w:pPr>
        <w:pStyle w:val="ListParagraph"/>
        <w:numPr>
          <w:ilvl w:val="0"/>
          <w:numId w:val="3"/>
        </w:numPr>
        <w:spacing w:after="90" w:line="270"/>
      </w:pPr>
      <w:r>
        <w:rPr>
          <w:rFonts w:ascii="Calibri" w:cs="Calibri" w:eastAsia="Calibri" w:hAnsi="Calibri"/>
          <w:color w:val="1A1A1A"/>
          <w:sz w:val="22"/>
          <w:szCs w:val="22"/>
        </w:rPr>
        <w:t xml:space="preserve">Was bedeutet die Regel „Verweigern schlägt Erlauben“? Geben Sie ein Beispiel.</w:t>
      </w:r>
    </w:p>
    <w:p>
      <w:pPr>
        <w:pStyle w:val="ListParagraph"/>
        <w:numPr>
          <w:ilvl w:val="0"/>
          <w:numId w:val="3"/>
        </w:numPr>
        <w:spacing w:after="90" w:line="270"/>
      </w:pPr>
      <w:r>
        <w:rPr>
          <w:rFonts w:ascii="Calibri" w:cs="Calibri" w:eastAsia="Calibri" w:hAnsi="Calibri"/>
          <w:color w:val="1A1A1A"/>
          <w:sz w:val="22"/>
          <w:szCs w:val="22"/>
        </w:rPr>
        <w:t xml:space="preserve">Beschreiben Sie die AGDLP-Kette und begründen Sie ihren Nutzen.</w:t>
      </w:r>
    </w:p>
    <w:p>
      <w:pPr>
        <w:pStyle w:val="ListParagraph"/>
        <w:numPr>
          <w:ilvl w:val="0"/>
          <w:numId w:val="3"/>
        </w:numPr>
        <w:spacing w:after="90" w:line="270"/>
      </w:pPr>
      <w:r>
        <w:rPr>
          <w:rFonts w:ascii="Calibri" w:cs="Calibri" w:eastAsia="Calibri" w:hAnsi="Calibri"/>
          <w:color w:val="1A1A1A"/>
          <w:sz w:val="22"/>
          <w:szCs w:val="22"/>
        </w:rPr>
        <w:t xml:space="preserve">Was bewirkt chmod 750 für eine Datei? Lesen Sie die Rechte symbolisch.</w:t>
      </w:r>
    </w:p>
    <w:p>
      <w:pPr>
        <w:pStyle w:val="ListParagraph"/>
        <w:numPr>
          <w:ilvl w:val="0"/>
          <w:numId w:val="3"/>
        </w:numPr>
        <w:spacing w:after="90" w:line="270"/>
      </w:pPr>
      <w:r>
        <w:rPr>
          <w:rFonts w:ascii="Calibri" w:cs="Calibri" w:eastAsia="Calibri" w:hAnsi="Calibri"/>
          <w:color w:val="1A1A1A"/>
          <w:sz w:val="22"/>
          <w:szCs w:val="22"/>
        </w:rPr>
        <w:t xml:space="preserve">Wozu dienen erweiterte ACLs unter Linux, wenn es POSIX-Rechte schon gibt?</w:t>
      </w:r>
    </w:p>
    <w:sectPr>
      <w:headerReference w:type="default" r:id="rId7"/>
      <w:footerReference w:type="default" r:id="rId8"/>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6E4F0" w:sz="4" w:space="4"/>
      </w:pBdr>
      <w:tabs>
        <w:tab w:val="right" w:pos="9026"/>
      </w:tabs>
      <w:spacing w:before="0"/>
    </w:pPr>
    <w:r>
      <w:rPr>
        <w:rFonts w:ascii="Calibri" w:cs="Calibri" w:eastAsia="Calibri" w:hAnsi="Calibri"/>
        <w:color w:val="5A6B7B"/>
        <w:sz w:val="16"/>
        <w:szCs w:val="16"/>
      </w:rPr>
      <w:t xml:space="preserve">[Vor- und Nachname]   ·   Datum: [Datum]</w:t>
    </w:r>
    <w:r>
      <w:rPr>
        <w:rFonts w:ascii="Calibri" w:cs="Calibri" w:eastAsia="Calibri" w:hAnsi="Calibri"/>
        <w:color w:val="5A6B7B"/>
        <w:sz w:val="16"/>
        <w:szCs w:val="16"/>
      </w:rPr>
      <w:t xml:space="preserve">	Seite </w:t>
    </w:r>
    <w:r>
      <w:rPr>
        <w:rFonts w:ascii="Calibri" w:cs="Calibri" w:eastAsia="Calibri" w:hAnsi="Calibri"/>
        <w:color w:val="5A6B7B"/>
        <w:sz w:val="16"/>
        <w:szCs w:val="16"/>
      </w:rPr>
      <w:fldChar w:fldCharType="begin"/>
      <w:instrText xml:space="preserve">PAGE</w:instrText>
      <w:fldChar w:fldCharType="separate"/>
      <w:fldChar w:fldCharType="end"/>
    </w:r>
    <w:r>
      <w:rPr>
        <w:rFonts w:ascii="Calibri" w:cs="Calibri" w:eastAsia="Calibri" w:hAnsi="Calibri"/>
        <w:color w:val="5A6B7B"/>
        <w:sz w:val="16"/>
        <w:szCs w:val="16"/>
      </w:rPr>
      <w:t xml:space="preserve"> von </w:t>
    </w:r>
    <w:r>
      <w:rPr>
        <w:rFonts w:ascii="Calibri" w:cs="Calibri" w:eastAsia="Calibri" w:hAnsi="Calibri"/>
        <w:color w:val="5A6B7B"/>
        <w:sz w:val="16"/>
        <w:szCs w:val="16"/>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D6E4F0" w:sz="4" w:space="4"/>
      </w:pBdr>
      <w:tabs>
        <w:tab w:val="right" w:pos="9026"/>
      </w:tabs>
      <w:spacing w:after="0"/>
    </w:pPr>
    <w:r>
      <w:rPr>
        <w:rFonts w:ascii="Calibri" w:cs="Calibri" w:eastAsia="Calibri" w:hAnsi="Calibri"/>
        <w:color w:val="5A6B7B"/>
        <w:sz w:val="16"/>
        <w:szCs w:val="16"/>
      </w:rPr>
      <w:t xml:space="preserve">Modul K – Serverdienste bereitstellen</w:t>
    </w:r>
    <w:r>
      <w:rPr>
        <w:rFonts w:ascii="Calibri" w:cs="Calibri" w:eastAsia="Calibri" w:hAnsi="Calibri"/>
        <w:color w:val="5A6B7B"/>
        <w:sz w:val="16"/>
        <w:szCs w:val="16"/>
      </w:rPr>
      <w:t xml:space="preserve">	Etappe 3: Datei- &amp; Druckdienste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460" w:hanging="260"/>
      </w:pPr>
      <w:rPr>
        <w:color w:val="0066AA"/>
      </w:rPr>
    </w:lvl>
  </w:abstractNum>
  <w:abstractNum w:abstractNumId="3" w15:restartNumberingAfterBreak="0">
    <w:multiLevelType w:val="hybridMultilevel"/>
    <w:lvl w:ilvl="0" w15:tentative="1">
      <w:start w:val="1"/>
      <w:numFmt w:val="decimal"/>
      <w:lvlText w:val="%1."/>
      <w:lvlJc w:val="left"/>
      <w:pPr>
        <w:ind w:left="460" w:hanging="300"/>
      </w:p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A1A1A"/>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Modul K – Etappe 3 – Handout Datei- &amp; Druckdienste</dc:title>
  <dc:creator>[Vor- und Nachname]</dc:creator>
  <cp:lastModifiedBy>Un-named</cp:lastModifiedBy>
  <cp:revision>1</cp:revision>
  <dcterms:created xsi:type="dcterms:W3CDTF">2026-06-26T05:17:08.756Z</dcterms:created>
  <dcterms:modified xsi:type="dcterms:W3CDTF">2026-06-26T05:17:08.756Z</dcterms:modified>
</cp:coreProperties>
</file>

<file path=docProps/custom.xml><?xml version="1.0" encoding="utf-8"?>
<Properties xmlns="http://schemas.openxmlformats.org/officeDocument/2006/custom-properties" xmlns:vt="http://schemas.openxmlformats.org/officeDocument/2006/docPropsVTypes"/>
</file>