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0066AA"/>
          <w:sz w:val="18"/>
          <w:szCs w:val="18"/>
        </w:rPr>
        <w:t xml:space="preserve">MODUL K · SERVERDIENSTE BEREITSTELLEN</w:t>
      </w:r>
    </w:p>
    <w:p>
      <w:pPr>
        <w:spacing w:after="40"/>
      </w:pPr>
      <w:r>
        <w:rPr>
          <w:rFonts w:ascii="Calibri" w:cs="Calibri" w:eastAsia="Calibri" w:hAnsi="Calibri"/>
          <w:b/>
          <w:bCs/>
          <w:color w:val="003366"/>
          <w:sz w:val="36"/>
          <w:szCs w:val="36"/>
        </w:rPr>
        <w:t xml:space="preserve">Handout — Etappe 2: DNS &amp; DHCP serverseitig</w:t>
      </w:r>
    </w:p>
    <w:p>
      <w:pPr>
        <w:pBdr>
          <w:bottom w:val="single" w:color="F0A500" w:sz="8" w:space="6"/>
        </w:pBdr>
        <w:spacing w:after="60"/>
      </w:pPr>
      <w:r>
        <w:rPr>
          <w:rFonts w:ascii="Calibri" w:cs="Calibri" w:eastAsia="Calibri" w:hAnsi="Calibri"/>
          <w:color w:val="5A6B7B"/>
          <w:sz w:val="23"/>
          <w:szCs w:val="23"/>
        </w:rPr>
        <w:t xml:space="preserve">Zonen, Resource Records, Scopes, Reservierungen &amp; DHCP-Relay</w:t>
      </w:r>
    </w:p>
    <w:p>
      <w:pPr>
        <w:spacing w:after="120" w:line="276"/>
      </w:pPr>
      <w:r>
        <w:rPr>
          <w:rFonts w:ascii="Calibri" w:cs="Calibri" w:eastAsia="Calibri" w:hAnsi="Calibri"/>
          <w:color w:val="5A6B7B"/>
          <w:sz w:val="20"/>
          <w:szCs w:val="20"/>
        </w:rPr>
        <w:t xml:space="preserve">Lernfeld 10 (FISI) · Begleitmaterial zur Einstiegspräsentation. DNS und DHCP sind aus Lernfeld 9 als Konzept bekannt; dieses Handout behandelt die serverseitige Einrichtung.</w:t>
      </w:r>
    </w:p>
    <w:p>
      <w:pPr>
        <w:pStyle w:val="Heading1"/>
        <w:spacing w:after="140" w:before="320"/>
      </w:pPr>
      <w:r>
        <w:rPr>
          <w:rFonts w:ascii="Calibri" w:cs="Calibri" w:eastAsia="Calibri" w:hAnsi="Calibri"/>
          <w:b/>
          <w:bCs/>
          <w:color w:val="003366"/>
          <w:sz w:val="30"/>
          <w:szCs w:val="30"/>
        </w:rPr>
        <w:t xml:space="preserve">Lernziele</w:t>
      </w:r>
    </w:p>
    <w:p>
      <w:pPr>
        <w:spacing w:after="120" w:line="276"/>
      </w:pPr>
      <w:r>
        <w:rPr>
          <w:rFonts w:ascii="Calibri" w:cs="Calibri" w:eastAsia="Calibri" w:hAnsi="Calibri"/>
          <w:color w:val="1A1A1A"/>
          <w:sz w:val="22"/>
          <w:szCs w:val="22"/>
        </w:rPr>
        <w:t xml:space="preserve">Nach dieser Etappe können Sie …</w:t>
      </w:r>
    </w:p>
    <w:p>
      <w:pPr>
        <w:pStyle w:val="ListParagraph"/>
        <w:numPr>
          <w:ilvl w:val="0"/>
          <w:numId w:val="2"/>
        </w:numPr>
        <w:spacing w:after="70" w:line="270"/>
      </w:pPr>
      <w:r>
        <w:rPr>
          <w:rFonts w:ascii="Calibri" w:cs="Calibri" w:eastAsia="Calibri" w:hAnsi="Calibri"/>
          <w:color w:val="1A1A1A"/>
          <w:sz w:val="22"/>
          <w:szCs w:val="22"/>
        </w:rPr>
        <w:t xml:space="preserve">Forward- und Reverse-Zonen anlegen und die wichtigsten Resource Records korrekt zuordnen,</w:t>
      </w:r>
    </w:p>
    <w:p>
      <w:pPr>
        <w:pStyle w:val="ListParagraph"/>
        <w:numPr>
          <w:ilvl w:val="0"/>
          <w:numId w:val="2"/>
        </w:numPr>
        <w:spacing w:after="70" w:line="270"/>
      </w:pPr>
      <w:r>
        <w:rPr>
          <w:rFonts w:ascii="Calibri" w:cs="Calibri" w:eastAsia="Calibri" w:hAnsi="Calibri"/>
          <w:color w:val="1A1A1A"/>
          <w:sz w:val="22"/>
          <w:szCs w:val="22"/>
        </w:rPr>
        <w:t xml:space="preserve">primäre und sekundäre Zonen sowie den Zonentransfer erklären,</w:t>
      </w:r>
    </w:p>
    <w:p>
      <w:pPr>
        <w:pStyle w:val="ListParagraph"/>
        <w:numPr>
          <w:ilvl w:val="0"/>
          <w:numId w:val="2"/>
        </w:numPr>
        <w:spacing w:after="70" w:line="270"/>
      </w:pPr>
      <w:r>
        <w:rPr>
          <w:rFonts w:ascii="Calibri" w:cs="Calibri" w:eastAsia="Calibri" w:hAnsi="Calibri"/>
          <w:color w:val="1A1A1A"/>
          <w:sz w:val="22"/>
          <w:szCs w:val="22"/>
        </w:rPr>
        <w:t xml:space="preserve">einen DHCP-Bereich mit Pool, Lease, Optionen, Reservierung und Ausschluss konfigurieren,</w:t>
      </w:r>
    </w:p>
    <w:p>
      <w:pPr>
        <w:pStyle w:val="ListParagraph"/>
        <w:numPr>
          <w:ilvl w:val="0"/>
          <w:numId w:val="2"/>
        </w:numPr>
        <w:spacing w:after="70" w:line="270"/>
      </w:pPr>
      <w:r>
        <w:rPr>
          <w:rFonts w:ascii="Calibri" w:cs="Calibri" w:eastAsia="Calibri" w:hAnsi="Calibri"/>
          <w:color w:val="1A1A1A"/>
          <w:sz w:val="22"/>
          <w:szCs w:val="22"/>
        </w:rPr>
        <w:t xml:space="preserve">begründen, warum DHCP über Netzgrenzen einen Relay-Agent benötigt, und ihn einrichten,</w:t>
      </w:r>
    </w:p>
    <w:p>
      <w:pPr>
        <w:pStyle w:val="ListParagraph"/>
        <w:numPr>
          <w:ilvl w:val="0"/>
          <w:numId w:val="2"/>
        </w:numPr>
        <w:spacing w:after="70" w:line="270"/>
      </w:pPr>
      <w:r>
        <w:rPr>
          <w:rFonts w:ascii="Calibri" w:cs="Calibri" w:eastAsia="Calibri" w:hAnsi="Calibri"/>
          <w:color w:val="1A1A1A"/>
          <w:sz w:val="22"/>
          <w:szCs w:val="22"/>
        </w:rPr>
        <w:t xml:space="preserve">die serverseitigen Dienste unter Windows Server und Linux gegenüberstellen.</w:t>
      </w:r>
    </w:p>
    <w:p>
      <w:pPr>
        <w:pStyle w:val="Heading1"/>
        <w:spacing w:after="140" w:before="320"/>
      </w:pPr>
      <w:r>
        <w:rPr>
          <w:rFonts w:ascii="Calibri" w:cs="Calibri" w:eastAsia="Calibri" w:hAnsi="Calibri"/>
          <w:b/>
          <w:bCs/>
          <w:color w:val="003366"/>
          <w:sz w:val="30"/>
          <w:szCs w:val="30"/>
        </w:rPr>
        <w:t xml:space="preserve">1  Einführung: vom Konzept zur Server-Konfiguration</w:t>
      </w:r>
    </w:p>
    <w:p>
      <w:pPr>
        <w:spacing w:after="120" w:line="276"/>
      </w:pPr>
      <w:r>
        <w:rPr>
          <w:rFonts w:ascii="Calibri" w:cs="Calibri" w:eastAsia="Calibri" w:hAnsi="Calibri"/>
          <w:color w:val="1A1A1A"/>
          <w:sz w:val="22"/>
          <w:szCs w:val="22"/>
        </w:rPr>
        <w:t xml:space="preserve">DNS löst Namen in IP-Adressen auf, DHCP vergibt die IP-Konfiguration automatisch — das kennen Sie aus Lernfeld 9. Dort standen die Abläufe im Vordergrund, etwa der DORA-Prozess (Discover, Offer, Request, Acknowledge). In dieser Etappe wechseln Sie die Perspektive: Sie betreiben die Dienste selbst, pflegen Zonen und Resource Records, richten DHCP-Bereiche ein und sorgen dafür, dass die Dienste auch über Subnetzgrenzen hinweg und bei einem Ausfall funktionieren.</w:t>
      </w:r>
    </w:p>
    <w:p>
      <w:pPr>
        <w:pStyle w:val="Heading1"/>
        <w:spacing w:after="140" w:before="320"/>
      </w:pPr>
      <w:r>
        <w:rPr>
          <w:rFonts w:ascii="Calibri" w:cs="Calibri" w:eastAsia="Calibri" w:hAnsi="Calibri"/>
          <w:b/>
          <w:bCs/>
          <w:color w:val="003366"/>
          <w:sz w:val="30"/>
          <w:szCs w:val="30"/>
        </w:rPr>
        <w:t xml:space="preserve">2  DNS-Zonen &amp; Zonentypen</w:t>
      </w:r>
    </w:p>
    <w:p>
      <w:pPr>
        <w:spacing w:after="120" w:line="276"/>
      </w:pPr>
      <w:r>
        <w:rPr>
          <w:rFonts w:ascii="Calibri" w:cs="Calibri" w:eastAsia="Calibri" w:hAnsi="Calibri"/>
          <w:color w:val="1A1A1A"/>
          <w:sz w:val="22"/>
          <w:szCs w:val="22"/>
        </w:rPr>
        <w:t xml:space="preserve">Eine Zone ist ein abgegrenzter, eigenständig verwalteter Teil des Namensraums, zum Beispiel firma.de. Man unterscheidet nach Richtung und nach Rolle:</w:t>
      </w:r>
    </w:p>
    <w:p>
      <w:pPr>
        <w:pStyle w:val="ListParagraph"/>
        <w:numPr>
          <w:ilvl w:val="0"/>
          <w:numId w:val="2"/>
        </w:numPr>
        <w:spacing w:after="70" w:line="270"/>
      </w:pPr>
      <w:r>
        <w:rPr>
          <w:rFonts w:ascii="Calibri" w:cs="Calibri" w:eastAsia="Calibri" w:hAnsi="Calibri"/>
          <w:b/>
          <w:bCs/>
          <w:color w:val="1A1A1A"/>
          <w:sz w:val="22"/>
          <w:szCs w:val="22"/>
        </w:rPr>
        <w:t xml:space="preserve">Forward-Lookup-Zone: </w:t>
      </w:r>
      <w:r>
        <w:rPr>
          <w:rFonts w:ascii="Calibri" w:cs="Calibri" w:eastAsia="Calibri" w:hAnsi="Calibri"/>
          <w:color w:val="1A1A1A"/>
          <w:sz w:val="22"/>
          <w:szCs w:val="22"/>
        </w:rPr>
        <w:t xml:space="preserve">löst einen Namen in eine IP-Adresse auf (Wer ist web.firma.de?).</w:t>
      </w:r>
    </w:p>
    <w:p>
      <w:pPr>
        <w:pStyle w:val="ListParagraph"/>
        <w:numPr>
          <w:ilvl w:val="0"/>
          <w:numId w:val="2"/>
        </w:numPr>
        <w:spacing w:after="70" w:line="270"/>
      </w:pPr>
      <w:r>
        <w:rPr>
          <w:rFonts w:ascii="Calibri" w:cs="Calibri" w:eastAsia="Calibri" w:hAnsi="Calibri"/>
          <w:b/>
          <w:bCs/>
          <w:color w:val="1A1A1A"/>
          <w:sz w:val="22"/>
          <w:szCs w:val="22"/>
        </w:rPr>
        <w:t xml:space="preserve">Reverse-Lookup-Zone: </w:t>
      </w:r>
      <w:r>
        <w:rPr>
          <w:rFonts w:ascii="Calibri" w:cs="Calibri" w:eastAsia="Calibri" w:hAnsi="Calibri"/>
          <w:color w:val="1A1A1A"/>
          <w:sz w:val="22"/>
          <w:szCs w:val="22"/>
        </w:rPr>
        <w:t xml:space="preserve">löst eine IP-Adresse in einen Namen auf (Wem gehört 10.0.0.5?) — über PTR-Records.</w:t>
      </w:r>
    </w:p>
    <w:p>
      <w:pPr>
        <w:pStyle w:val="ListParagraph"/>
        <w:numPr>
          <w:ilvl w:val="0"/>
          <w:numId w:val="2"/>
        </w:numPr>
        <w:spacing w:after="70" w:line="270"/>
      </w:pPr>
      <w:r>
        <w:rPr>
          <w:rFonts w:ascii="Calibri" w:cs="Calibri" w:eastAsia="Calibri" w:hAnsi="Calibri"/>
          <w:b/>
          <w:bCs/>
          <w:color w:val="1A1A1A"/>
          <w:sz w:val="22"/>
          <w:szCs w:val="22"/>
        </w:rPr>
        <w:t xml:space="preserve">Primäre Zone: </w:t>
      </w:r>
      <w:r>
        <w:rPr>
          <w:rFonts w:ascii="Calibri" w:cs="Calibri" w:eastAsia="Calibri" w:hAnsi="Calibri"/>
          <w:color w:val="1A1A1A"/>
          <w:sz w:val="22"/>
          <w:szCs w:val="22"/>
        </w:rPr>
        <w:t xml:space="preserve">das beschreibbare Original (Master).</w:t>
      </w:r>
    </w:p>
    <w:p>
      <w:pPr>
        <w:pStyle w:val="ListParagraph"/>
        <w:numPr>
          <w:ilvl w:val="0"/>
          <w:numId w:val="2"/>
        </w:numPr>
        <w:spacing w:after="70" w:line="270"/>
      </w:pPr>
      <w:r>
        <w:rPr>
          <w:rFonts w:ascii="Calibri" w:cs="Calibri" w:eastAsia="Calibri" w:hAnsi="Calibri"/>
          <w:b/>
          <w:bCs/>
          <w:color w:val="1A1A1A"/>
          <w:sz w:val="22"/>
          <w:szCs w:val="22"/>
        </w:rPr>
        <w:t xml:space="preserve">Sekundäre Zone: </w:t>
      </w:r>
      <w:r>
        <w:rPr>
          <w:rFonts w:ascii="Calibri" w:cs="Calibri" w:eastAsia="Calibri" w:hAnsi="Calibri"/>
          <w:color w:val="1A1A1A"/>
          <w:sz w:val="22"/>
          <w:szCs w:val="22"/>
        </w:rPr>
        <w:t xml:space="preserve">eine schreibgeschützte Kopie zur Ausfallsicherheit und Lastverteilung.</w:t>
      </w:r>
    </w:p>
    <w:p>
      <w:pPr>
        <w:pStyle w:val="ListParagraph"/>
        <w:numPr>
          <w:ilvl w:val="0"/>
          <w:numId w:val="2"/>
        </w:numPr>
        <w:spacing w:after="70" w:line="270"/>
      </w:pPr>
      <w:r>
        <w:rPr>
          <w:rFonts w:ascii="Calibri" w:cs="Calibri" w:eastAsia="Calibri" w:hAnsi="Calibri"/>
          <w:b/>
          <w:bCs/>
          <w:color w:val="1A1A1A"/>
          <w:sz w:val="22"/>
          <w:szCs w:val="22"/>
        </w:rPr>
        <w:t xml:space="preserve">AD-integrierte Zone: </w:t>
      </w:r>
      <w:r>
        <w:rPr>
          <w:rFonts w:ascii="Calibri" w:cs="Calibri" w:eastAsia="Calibri" w:hAnsi="Calibri"/>
          <w:color w:val="1A1A1A"/>
          <w:sz w:val="22"/>
          <w:szCs w:val="22"/>
        </w:rPr>
        <w:t xml:space="preserve">die Zonendaten liegen in Active Directory und werden mit den Domänencontrollern repliziert — in Windows-Domänen der Standard.</w:t>
      </w:r>
    </w:p>
    <w:p>
      <w:pPr>
        <w:pStyle w:val="Heading1"/>
        <w:spacing w:after="140" w:before="320"/>
      </w:pPr>
      <w:r>
        <w:rPr>
          <w:rFonts w:ascii="Calibri" w:cs="Calibri" w:eastAsia="Calibri" w:hAnsi="Calibri"/>
          <w:b/>
          <w:bCs/>
          <w:color w:val="003366"/>
          <w:sz w:val="30"/>
          <w:szCs w:val="30"/>
        </w:rPr>
        <w:t xml:space="preserve">3  Resource Records im Überblick</w:t>
      </w:r>
    </w:p>
    <w:p>
      <w:pPr>
        <w:spacing w:after="120" w:line="276"/>
      </w:pPr>
      <w:r>
        <w:rPr>
          <w:rFonts w:ascii="Calibri" w:cs="Calibri" w:eastAsia="Calibri" w:hAnsi="Calibri"/>
          <w:color w:val="1A1A1A"/>
          <w:sz w:val="22"/>
          <w:szCs w:val="22"/>
        </w:rPr>
        <w:t xml:space="preserve">Die Einträge einer Zone heißen Resource Records. Die wichtigsten: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4200"/>
        <w:gridCol w:w="3326"/>
      </w:tblGrid>
      <w:tr>
        <w:trPr>
          <w:tblHeader/>
        </w:trPr>
        <w:tc>
          <w:tcPr>
            <w:tcW w:type="dxa" w:w="15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Record</w:t>
            </w:r>
          </w:p>
        </w:tc>
        <w:tc>
          <w:tcPr>
            <w:tcW w:type="dxa" w:w="42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Zweck</w:t>
            </w:r>
          </w:p>
        </w:tc>
        <w:tc>
          <w:tcPr>
            <w:tcW w:type="dxa" w:w="3326"/>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Beispiel</w:t>
            </w:r>
          </w:p>
        </w:tc>
      </w:tr>
      <w:tr>
        <w:tc>
          <w:tcPr>
            <w:tcW w:type="dxa" w:w="15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A</w:t>
            </w:r>
          </w:p>
        </w:tc>
        <w:tc>
          <w:tcPr>
            <w:tcW w:type="dxa" w:w="42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Name in IPv4-Adresse</w:t>
            </w:r>
          </w:p>
        </w:tc>
        <w:tc>
          <w:tcPr>
            <w:tcW w:type="dxa" w:w="33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onsolas" w:cs="Consolas" w:eastAsia="Consolas" w:hAnsi="Consolas"/>
                <w:b w:val="false"/>
                <w:bCs w:val="false"/>
                <w:color w:val="1A1A1A"/>
                <w:sz w:val="18"/>
                <w:szCs w:val="18"/>
              </w:rPr>
              <w:t xml:space="preserve">web  A  10.0.0.5</w:t>
            </w:r>
          </w:p>
        </w:tc>
      </w:tr>
      <w:tr>
        <w:tc>
          <w:tcPr>
            <w:tcW w:type="dxa" w:w="15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AAAA</w:t>
            </w:r>
          </w:p>
        </w:tc>
        <w:tc>
          <w:tcPr>
            <w:tcW w:type="dxa" w:w="42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Name in IPv6-Adresse</w:t>
            </w:r>
          </w:p>
        </w:tc>
        <w:tc>
          <w:tcPr>
            <w:tcW w:type="dxa" w:w="33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onsolas" w:cs="Consolas" w:eastAsia="Consolas" w:hAnsi="Consolas"/>
                <w:b w:val="false"/>
                <w:bCs w:val="false"/>
                <w:color w:val="1A1A1A"/>
                <w:sz w:val="18"/>
                <w:szCs w:val="18"/>
              </w:rPr>
              <w:t xml:space="preserve">web  AAAA  2001:db8::5</w:t>
            </w:r>
          </w:p>
        </w:tc>
      </w:tr>
      <w:tr>
        <w:tc>
          <w:tcPr>
            <w:tcW w:type="dxa" w:w="15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CNAME</w:t>
            </w:r>
          </w:p>
        </w:tc>
        <w:tc>
          <w:tcPr>
            <w:tcW w:type="dxa" w:w="42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Alias auf einen anderen Namen</w:t>
            </w:r>
          </w:p>
        </w:tc>
        <w:tc>
          <w:tcPr>
            <w:tcW w:type="dxa" w:w="33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onsolas" w:cs="Consolas" w:eastAsia="Consolas" w:hAnsi="Consolas"/>
                <w:b w:val="false"/>
                <w:bCs w:val="false"/>
                <w:color w:val="1A1A1A"/>
                <w:sz w:val="18"/>
                <w:szCs w:val="18"/>
              </w:rPr>
              <w:t xml:space="preserve">www  CNAME  web.firma.de</w:t>
            </w:r>
          </w:p>
        </w:tc>
      </w:tr>
      <w:tr>
        <w:tc>
          <w:tcPr>
            <w:tcW w:type="dxa" w:w="15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MX</w:t>
            </w:r>
          </w:p>
        </w:tc>
        <w:tc>
          <w:tcPr>
            <w:tcW w:type="dxa" w:w="42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Mailserver der Domäne</w:t>
            </w:r>
          </w:p>
        </w:tc>
        <w:tc>
          <w:tcPr>
            <w:tcW w:type="dxa" w:w="33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onsolas" w:cs="Consolas" w:eastAsia="Consolas" w:hAnsi="Consolas"/>
                <w:b w:val="false"/>
                <w:bCs w:val="false"/>
                <w:color w:val="1A1A1A"/>
                <w:sz w:val="18"/>
                <w:szCs w:val="18"/>
              </w:rPr>
              <w:t xml:space="preserve">firma.de  MX 10  mail</w:t>
            </w:r>
          </w:p>
        </w:tc>
      </w:tr>
      <w:tr>
        <w:tc>
          <w:tcPr>
            <w:tcW w:type="dxa" w:w="15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PTR</w:t>
            </w:r>
          </w:p>
        </w:tc>
        <w:tc>
          <w:tcPr>
            <w:tcW w:type="dxa" w:w="42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IP-Adresse in Name (Reverse)</w:t>
            </w:r>
          </w:p>
        </w:tc>
        <w:tc>
          <w:tcPr>
            <w:tcW w:type="dxa" w:w="33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onsolas" w:cs="Consolas" w:eastAsia="Consolas" w:hAnsi="Consolas"/>
                <w:b w:val="false"/>
                <w:bCs w:val="false"/>
                <w:color w:val="1A1A1A"/>
                <w:sz w:val="18"/>
                <w:szCs w:val="18"/>
              </w:rPr>
              <w:t xml:space="preserve">5.0.0.10.in-addr.arpa  PTR  web</w:t>
            </w:r>
          </w:p>
        </w:tc>
      </w:tr>
      <w:tr>
        <w:tc>
          <w:tcPr>
            <w:tcW w:type="dxa" w:w="15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NS</w:t>
            </w:r>
          </w:p>
        </w:tc>
        <w:tc>
          <w:tcPr>
            <w:tcW w:type="dxa" w:w="42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zuständiger Nameserver</w:t>
            </w:r>
          </w:p>
        </w:tc>
        <w:tc>
          <w:tcPr>
            <w:tcW w:type="dxa" w:w="33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onsolas" w:cs="Consolas" w:eastAsia="Consolas" w:hAnsi="Consolas"/>
                <w:b w:val="false"/>
                <w:bCs w:val="false"/>
                <w:color w:val="1A1A1A"/>
                <w:sz w:val="18"/>
                <w:szCs w:val="18"/>
              </w:rPr>
              <w:t xml:space="preserve">firma.de  NS  dc01</w:t>
            </w:r>
          </w:p>
        </w:tc>
      </w:tr>
      <w:tr>
        <w:tc>
          <w:tcPr>
            <w:tcW w:type="dxa" w:w="15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SOA</w:t>
            </w:r>
          </w:p>
        </w:tc>
        <w:tc>
          <w:tcPr>
            <w:tcW w:type="dxa" w:w="42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Zonenkopf (Start of Authority)</w:t>
            </w:r>
          </w:p>
        </w:tc>
        <w:tc>
          <w:tcPr>
            <w:tcW w:type="dxa" w:w="33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onsolas" w:cs="Consolas" w:eastAsia="Consolas" w:hAnsi="Consolas"/>
                <w:b w:val="false"/>
                <w:bCs w:val="false"/>
                <w:color w:val="1A1A1A"/>
                <w:sz w:val="18"/>
                <w:szCs w:val="18"/>
              </w:rPr>
              <w:t xml:space="preserve">Serien-Nr., Refresh, Expire, TTL</w:t>
            </w:r>
          </w:p>
        </w:tc>
      </w:tr>
      <w:tr>
        <w:tc>
          <w:tcPr>
            <w:tcW w:type="dxa" w:w="15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SRV</w:t>
            </w:r>
          </w:p>
        </w:tc>
        <w:tc>
          <w:tcPr>
            <w:tcW w:type="dxa" w:w="42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Lokalisiert Dienste (für AD zentral)</w:t>
            </w:r>
          </w:p>
        </w:tc>
        <w:tc>
          <w:tcPr>
            <w:tcW w:type="dxa" w:w="33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onsolas" w:cs="Consolas" w:eastAsia="Consolas" w:hAnsi="Consolas"/>
                <w:b w:val="false"/>
                <w:bCs w:val="false"/>
                <w:color w:val="1A1A1A"/>
                <w:sz w:val="18"/>
                <w:szCs w:val="18"/>
              </w:rPr>
              <w:t xml:space="preserve">_ldap._tcp  SRV  dc01</w:t>
            </w:r>
          </w:p>
        </w:tc>
      </w:tr>
    </w:tbl>
    <w:p>
      <w:pPr>
        <w:pStyle w:val="Heading1"/>
        <w:spacing w:after="140" w:before="320"/>
      </w:pPr>
      <w:r>
        <w:rPr>
          <w:rFonts w:ascii="Calibri" w:cs="Calibri" w:eastAsia="Calibri" w:hAnsi="Calibri"/>
          <w:b/>
          <w:bCs/>
          <w:color w:val="003366"/>
          <w:sz w:val="30"/>
          <w:szCs w:val="30"/>
        </w:rPr>
        <w:t xml:space="preserve">4  Zonentransfer &amp; Sekundärserver</w:t>
      </w:r>
    </w:p>
    <w:p>
      <w:pPr>
        <w:spacing w:after="120" w:line="276"/>
      </w:pPr>
      <w:r>
        <w:rPr>
          <w:rFonts w:ascii="Calibri" w:cs="Calibri" w:eastAsia="Calibri" w:hAnsi="Calibri"/>
          <w:color w:val="1A1A1A"/>
          <w:sz w:val="22"/>
          <w:szCs w:val="22"/>
        </w:rPr>
        <w:t xml:space="preserve">Damit ein Sekundärserver dieselben Daten kennt wie der Primärserver, gleicht er die Zone über einen Zonentransfer ab. Ein vollständiger Transfer der ganzen Zone heißt AXFR, ein inkrementeller Transfer nur der Änderungen heißt IXFR. Ob ein Abgleich nötig ist, erkennt der Sekundärserver an der Serien-Nummer im SOA-Record.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6E4F0" w:sz="1"/>
              <w:left w:val="single" w:color="D6E4F0" w:sz="1"/>
              <w:bottom w:val="single" w:color="D6E4F0" w:sz="1"/>
              <w:right w:val="single" w:color="D6E4F0" w:sz="1"/>
            </w:tcBorders>
            <w:shd w:fill="D6E4F0" w:val="clear"/>
            <w:tcMar>
              <w:top w:type="dxa" w:w="120"/>
              <w:left w:type="dxa" w:w="160"/>
              <w:bottom w:type="dxa" w:w="120"/>
              <w:right w:type="dxa" w:w="160"/>
            </w:tcMar>
          </w:tcPr>
          <w:p>
            <w:pPr>
              <w:spacing w:after="60"/>
            </w:pPr>
            <w:r>
              <w:rPr>
                <w:rFonts w:ascii="Calibri" w:cs="Calibri" w:eastAsia="Calibri" w:hAnsi="Calibri"/>
                <w:b/>
                <w:bCs/>
                <w:color w:val="003366"/>
                <w:sz w:val="22"/>
                <w:szCs w:val="22"/>
              </w:rPr>
              <w:t xml:space="preserve">Wichtig: Serien-Nummer hochzählen</w:t>
            </w:r>
          </w:p>
          <w:p>
            <w:pPr>
              <w:spacing w:after="40" w:line="264"/>
            </w:pPr>
            <w:r>
              <w:rPr>
                <w:rFonts w:ascii="Calibri" w:cs="Calibri" w:eastAsia="Calibri" w:hAnsi="Calibri"/>
                <w:color w:val="1A1A1A"/>
                <w:sz w:val="21"/>
                <w:szCs w:val="21"/>
              </w:rPr>
              <w:t xml:space="preserve">Wird nach einer Zonenänderung die Serien-Nummer im SOA nicht erhöht, bemerkt der Sekundärserver die Änderung nicht und der Zonentransfer unterbleibt. Üblich ist das Format JJJJMMTTnn, z. B. 2025062501.</w:t>
            </w:r>
          </w:p>
        </w:tc>
      </w:tr>
    </w:tbl>
    <w:p>
      <w:pPr>
        <w:spacing w:after="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   IN SOA dc01.firma.de. admin.firma.de. (</w:t>
            </w:r>
          </w:p>
          <w:p>
            <w:pPr>
              <w:spacing w:after="0" w:line="250"/>
            </w:pPr>
            <w:r>
              <w:rPr>
                <w:rFonts w:ascii="Consolas" w:cs="Consolas" w:eastAsia="Consolas" w:hAnsi="Consolas"/>
                <w:color w:val="D6E4F0"/>
                <w:sz w:val="19"/>
                <w:szCs w:val="19"/>
              </w:rPr>
              <w:t xml:space="preserve">        2025062501  ; Serial — nach JEDER Änderung erhöhen</w:t>
            </w:r>
          </w:p>
          <w:p>
            <w:pPr>
              <w:spacing w:after="0" w:line="250"/>
            </w:pPr>
            <w:r>
              <w:rPr>
                <w:rFonts w:ascii="Consolas" w:cs="Consolas" w:eastAsia="Consolas" w:hAnsi="Consolas"/>
                <w:color w:val="D6E4F0"/>
                <w:sz w:val="19"/>
                <w:szCs w:val="19"/>
              </w:rPr>
              <w:t xml:space="preserve">        3600        ; Refresh</w:t>
            </w:r>
          </w:p>
          <w:p>
            <w:pPr>
              <w:spacing w:after="0" w:line="250"/>
            </w:pPr>
            <w:r>
              <w:rPr>
                <w:rFonts w:ascii="Consolas" w:cs="Consolas" w:eastAsia="Consolas" w:hAnsi="Consolas"/>
                <w:color w:val="D6E4F0"/>
                <w:sz w:val="19"/>
                <w:szCs w:val="19"/>
              </w:rPr>
              <w:t xml:space="preserve">        600         ; Retry</w:t>
            </w:r>
          </w:p>
          <w:p>
            <w:pPr>
              <w:spacing w:after="0" w:line="250"/>
            </w:pPr>
            <w:r>
              <w:rPr>
                <w:rFonts w:ascii="Consolas" w:cs="Consolas" w:eastAsia="Consolas" w:hAnsi="Consolas"/>
                <w:color w:val="D6E4F0"/>
                <w:sz w:val="19"/>
                <w:szCs w:val="19"/>
              </w:rPr>
              <w:t xml:space="preserve">        604800      ; Expire</w:t>
            </w:r>
          </w:p>
          <w:p>
            <w:pPr>
              <w:spacing w:after="0" w:line="250"/>
            </w:pPr>
            <w:r>
              <w:rPr>
                <w:rFonts w:ascii="Consolas" w:cs="Consolas" w:eastAsia="Consolas" w:hAnsi="Consolas"/>
                <w:color w:val="D6E4F0"/>
                <w:sz w:val="19"/>
                <w:szCs w:val="19"/>
              </w:rPr>
              <w:t xml:space="preserve">        86400 )     ; Minimum TTL</w:t>
            </w:r>
          </w:p>
        </w:tc>
      </w:tr>
    </w:tbl>
    <w:p>
      <w:pPr>
        <w:pStyle w:val="Heading1"/>
        <w:spacing w:after="140" w:before="320"/>
      </w:pPr>
      <w:r>
        <w:rPr>
          <w:rFonts w:ascii="Calibri" w:cs="Calibri" w:eastAsia="Calibri" w:hAnsi="Calibri"/>
          <w:b/>
          <w:bCs/>
          <w:color w:val="003366"/>
          <w:sz w:val="30"/>
          <w:szCs w:val="30"/>
        </w:rPr>
        <w:t xml:space="preserve">5  Weiterleitung &amp; Namensauflösung</w:t>
      </w:r>
    </w:p>
    <w:p>
      <w:pPr>
        <w:spacing w:after="120" w:line="276"/>
      </w:pPr>
      <w:r>
        <w:rPr>
          <w:rFonts w:ascii="Calibri" w:cs="Calibri" w:eastAsia="Calibri" w:hAnsi="Calibri"/>
          <w:color w:val="1A1A1A"/>
          <w:sz w:val="22"/>
          <w:szCs w:val="22"/>
        </w:rPr>
        <w:t xml:space="preserve">Kennt der DNS-Server eine Antwort nicht selbst, muss er sie beschaffen. Über einen Forwarder leitet er die Anfrage gezielt an einen anderen DNS-Server weiter, etwa den des Providers. Alternativ findet er über die Root-Hints den Einstieg in die weltweite DNS-Hierarchie. Bei der rekursiven Auflösung beschafft der Server die vollständige Antwort für den Client; bei der iterativen Auflösung hangelt er sich Schritt für Schritt durch die Hierarchie. Bereits aufgelöste Namen werden für die Dauer der TTL zwischengespeichert (Caching), was Folgeabfragen beschleunigt.</w:t>
      </w:r>
    </w:p>
    <w:p>
      <w:pPr>
        <w:pStyle w:val="Heading1"/>
        <w:spacing w:after="140" w:before="320"/>
      </w:pPr>
      <w:r>
        <w:rPr>
          <w:rFonts w:ascii="Calibri" w:cs="Calibri" w:eastAsia="Calibri" w:hAnsi="Calibri"/>
          <w:b/>
          <w:bCs/>
          <w:color w:val="003366"/>
          <w:sz w:val="30"/>
          <w:szCs w:val="30"/>
        </w:rPr>
        <w:t xml:space="preserve">6  DHCP-Scope &amp; Optionen</w:t>
      </w:r>
    </w:p>
    <w:p>
      <w:pPr>
        <w:spacing w:after="120" w:line="276"/>
      </w:pPr>
      <w:r>
        <w:rPr>
          <w:rFonts w:ascii="Calibri" w:cs="Calibri" w:eastAsia="Calibri" w:hAnsi="Calibri"/>
          <w:color w:val="1A1A1A"/>
          <w:sz w:val="22"/>
          <w:szCs w:val="22"/>
        </w:rPr>
        <w:t xml:space="preserve">Ein Scope (Bereich) ist der Adresspool eines Subnetzes. Er legt Start- und End-IP, Subnetzmaske und Lease-Dauer fest. Eine Lease ist eine befristete Vergabe; der Client versucht bereits nach der Hälfte der Laufzeit (T1) eine Verlängerung. Zusätzlich liefert der DHCP-Server Bereichsoptionen aus: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4200"/>
        <w:gridCol w:w="3326"/>
      </w:tblGrid>
      <w:tr>
        <w:trPr>
          <w:tblHeader/>
        </w:trPr>
        <w:tc>
          <w:tcPr>
            <w:tcW w:type="dxa" w:w="15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Option</w:t>
            </w:r>
          </w:p>
        </w:tc>
        <w:tc>
          <w:tcPr>
            <w:tcW w:type="dxa" w:w="42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Bedeutung</w:t>
            </w:r>
          </w:p>
        </w:tc>
        <w:tc>
          <w:tcPr>
            <w:tcW w:type="dxa" w:w="3326"/>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Hinweis</w:t>
            </w:r>
          </w:p>
        </w:tc>
      </w:tr>
      <w:tr>
        <w:tc>
          <w:tcPr>
            <w:tcW w:type="dxa" w:w="15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003</w:t>
            </w:r>
          </w:p>
        </w:tc>
        <w:tc>
          <w:tcPr>
            <w:tcW w:type="dxa" w:w="42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Standardgateway (Router)</w:t>
            </w:r>
          </w:p>
        </w:tc>
        <w:tc>
          <w:tcPr>
            <w:tcW w:type="dxa" w:w="33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onsolas" w:cs="Consolas" w:eastAsia="Consolas" w:hAnsi="Consolas"/>
                <w:b w:val="false"/>
                <w:bCs w:val="false"/>
                <w:color w:val="1A1A1A"/>
                <w:sz w:val="18"/>
                <w:szCs w:val="18"/>
              </w:rPr>
              <w:t xml:space="preserve">pro Subnetz</w:t>
            </w:r>
          </w:p>
        </w:tc>
      </w:tr>
      <w:tr>
        <w:tc>
          <w:tcPr>
            <w:tcW w:type="dxa" w:w="15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006</w:t>
            </w:r>
          </w:p>
        </w:tc>
        <w:tc>
          <w:tcPr>
            <w:tcW w:type="dxa" w:w="42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DNS-Server</w:t>
            </w:r>
          </w:p>
        </w:tc>
        <w:tc>
          <w:tcPr>
            <w:tcW w:type="dxa" w:w="33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onsolas" w:cs="Consolas" w:eastAsia="Consolas" w:hAnsi="Consolas"/>
                <w:b w:val="false"/>
                <w:bCs w:val="false"/>
                <w:color w:val="1A1A1A"/>
                <w:sz w:val="18"/>
                <w:szCs w:val="18"/>
              </w:rPr>
              <w:t xml:space="preserve">meist der DC</w:t>
            </w:r>
          </w:p>
        </w:tc>
      </w:tr>
      <w:tr>
        <w:tc>
          <w:tcPr>
            <w:tcW w:type="dxa" w:w="15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015</w:t>
            </w:r>
          </w:p>
        </w:tc>
        <w:tc>
          <w:tcPr>
            <w:tcW w:type="dxa" w:w="42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DNS-Domänenname</w:t>
            </w:r>
          </w:p>
        </w:tc>
        <w:tc>
          <w:tcPr>
            <w:tcW w:type="dxa" w:w="33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onsolas" w:cs="Consolas" w:eastAsia="Consolas" w:hAnsi="Consolas"/>
                <w:b w:val="false"/>
                <w:bCs w:val="false"/>
                <w:color w:val="1A1A1A"/>
                <w:sz w:val="18"/>
                <w:szCs w:val="18"/>
              </w:rPr>
              <w:t xml:space="preserve">z. B. firma.de</w:t>
            </w:r>
          </w:p>
        </w:tc>
      </w:tr>
      <w:tr>
        <w:tc>
          <w:tcPr>
            <w:tcW w:type="dxa" w:w="15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066/067</w:t>
            </w:r>
          </w:p>
        </w:tc>
        <w:tc>
          <w:tcPr>
            <w:tcW w:type="dxa" w:w="42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Bootserver / Startdatei</w:t>
            </w:r>
          </w:p>
        </w:tc>
        <w:tc>
          <w:tcPr>
            <w:tcW w:type="dxa" w:w="33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onsolas" w:cs="Consolas" w:eastAsia="Consolas" w:hAnsi="Consolas"/>
                <w:b w:val="false"/>
                <w:bCs w:val="false"/>
                <w:color w:val="1A1A1A"/>
                <w:sz w:val="18"/>
                <w:szCs w:val="18"/>
              </w:rPr>
              <w:t xml:space="preserve">für PXE-Boot</w:t>
            </w:r>
          </w:p>
        </w:tc>
      </w:tr>
    </w:tbl>
    <w:p>
      <w:pPr>
        <w:spacing w:after="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 Windows Server (PowerShell)</w:t>
            </w:r>
          </w:p>
          <w:p>
            <w:pPr>
              <w:spacing w:after="0" w:line="250"/>
            </w:pPr>
            <w:r>
              <w:rPr>
                <w:rFonts w:ascii="Consolas" w:cs="Consolas" w:eastAsia="Consolas" w:hAnsi="Consolas"/>
                <w:color w:val="D6E4F0"/>
                <w:sz w:val="19"/>
                <w:szCs w:val="19"/>
              </w:rPr>
              <w:t xml:space="preserve">Add-DhcpServerv4Scope -Name "LAN" -StartRange 10.0.0.100 `</w:t>
            </w:r>
          </w:p>
          <w:p>
            <w:pPr>
              <w:spacing w:after="0" w:line="250"/>
            </w:pPr>
            <w:r>
              <w:rPr>
                <w:rFonts w:ascii="Consolas" w:cs="Consolas" w:eastAsia="Consolas" w:hAnsi="Consolas"/>
                <w:color w:val="D6E4F0"/>
                <w:sz w:val="19"/>
                <w:szCs w:val="19"/>
              </w:rPr>
              <w:t xml:space="preserve">  -EndRange 10.0.0.200 -SubnetMask 255.255.255.0</w:t>
            </w:r>
          </w:p>
          <w:p>
            <w:pPr>
              <w:spacing w:after="0" w:line="250"/>
            </w:pPr>
            <w:r>
              <w:rPr>
                <w:rFonts w:ascii="Consolas" w:cs="Consolas" w:eastAsia="Consolas" w:hAnsi="Consolas"/>
                <w:color w:val="D6E4F0"/>
                <w:sz w:val="19"/>
                <w:szCs w:val="19"/>
              </w:rPr>
              <w:t xml:space="preserve">Set-DhcpServerv4OptionValue -Router 10.0.0.1 `</w:t>
            </w:r>
          </w:p>
          <w:p>
            <w:pPr>
              <w:spacing w:after="0" w:line="250"/>
            </w:pPr>
            <w:r>
              <w:rPr>
                <w:rFonts w:ascii="Consolas" w:cs="Consolas" w:eastAsia="Consolas" w:hAnsi="Consolas"/>
                <w:color w:val="D6E4F0"/>
                <w:sz w:val="19"/>
                <w:szCs w:val="19"/>
              </w:rPr>
              <w:t xml:space="preserve">  -DnsServer 10.0.0.10 -DnsDomain firma.de</w:t>
            </w:r>
          </w:p>
        </w:tc>
      </w:tr>
    </w:tbl>
    <w:p>
      <w:pPr>
        <w:pStyle w:val="Heading1"/>
        <w:spacing w:after="140" w:before="320"/>
      </w:pPr>
      <w:r>
        <w:rPr>
          <w:rFonts w:ascii="Calibri" w:cs="Calibri" w:eastAsia="Calibri" w:hAnsi="Calibri"/>
          <w:b/>
          <w:bCs/>
          <w:color w:val="003366"/>
          <w:sz w:val="30"/>
          <w:szCs w:val="30"/>
        </w:rPr>
        <w:t xml:space="preserve">7  Reservierungen &amp; Ausschlüsse</w:t>
      </w:r>
    </w:p>
    <w:p>
      <w:pPr>
        <w:pStyle w:val="Heading2"/>
        <w:spacing w:after="100" w:before="220"/>
      </w:pPr>
      <w:r>
        <w:rPr>
          <w:rFonts w:ascii="Calibri" w:cs="Calibri" w:eastAsia="Calibri" w:hAnsi="Calibri"/>
          <w:b/>
          <w:bCs/>
          <w:color w:val="0066AA"/>
          <w:sz w:val="25"/>
          <w:szCs w:val="25"/>
        </w:rPr>
        <w:t xml:space="preserve">Reservierung</w:t>
      </w:r>
    </w:p>
    <w:p>
      <w:pPr>
        <w:spacing w:after="120" w:line="276"/>
      </w:pPr>
      <w:r>
        <w:rPr>
          <w:rFonts w:ascii="Calibri" w:cs="Calibri" w:eastAsia="Calibri" w:hAnsi="Calibri"/>
          <w:color w:val="1A1A1A"/>
          <w:sz w:val="22"/>
          <w:szCs w:val="22"/>
        </w:rPr>
        <w:t xml:space="preserve">Eine Reservierung bindet eine feste IP-Adresse über die MAC-Adresse an ein bestimmtes Gerät. Das Gerät bezieht seine Adresse weiterhin per DHCP, erhält aber stets dieselbe IP. Das ist ideal für Drucker, Server oder Access Points, die unter einer bekannten Adresse erreichbar sein sollen.</w:t>
      </w:r>
    </w:p>
    <w:p>
      <w:pPr>
        <w:pStyle w:val="Heading2"/>
        <w:spacing w:after="100" w:before="220"/>
      </w:pPr>
      <w:r>
        <w:rPr>
          <w:rFonts w:ascii="Calibri" w:cs="Calibri" w:eastAsia="Calibri" w:hAnsi="Calibri"/>
          <w:b/>
          <w:bCs/>
          <w:color w:val="0066AA"/>
          <w:sz w:val="25"/>
          <w:szCs w:val="25"/>
        </w:rPr>
        <w:t xml:space="preserve">Ausschluss (Exclusion)</w:t>
      </w:r>
    </w:p>
    <w:p>
      <w:pPr>
        <w:spacing w:after="120" w:line="276"/>
      </w:pPr>
      <w:r>
        <w:rPr>
          <w:rFonts w:ascii="Calibri" w:cs="Calibri" w:eastAsia="Calibri" w:hAnsi="Calibri"/>
          <w:color w:val="1A1A1A"/>
          <w:sz w:val="22"/>
          <w:szCs w:val="22"/>
        </w:rPr>
        <w:t xml:space="preserve">Ein Ausschluss nimmt einen Adressbereich aus dem Pool heraus — diese Adressen vergibt der DHCP-Server nicht. So reserviert man typischerweise die unteren Adressen eines Subnetzes (z. B. .1 bis .20) für statisch konfigurierte Geräte und vermeidet Adresskonflikte.</w:t>
      </w:r>
    </w:p>
    <w:p>
      <w:pPr>
        <w:pStyle w:val="Heading1"/>
        <w:spacing w:after="140" w:before="320"/>
      </w:pPr>
      <w:r>
        <w:rPr>
          <w:rFonts w:ascii="Calibri" w:cs="Calibri" w:eastAsia="Calibri" w:hAnsi="Calibri"/>
          <w:b/>
          <w:bCs/>
          <w:color w:val="003366"/>
          <w:sz w:val="30"/>
          <w:szCs w:val="30"/>
        </w:rPr>
        <w:t xml:space="preserve">8  DHCP-Relay über Netzgrenzen</w:t>
      </w:r>
    </w:p>
    <w:p>
      <w:pPr>
        <w:spacing w:after="120" w:line="276"/>
      </w:pPr>
      <w:r>
        <w:rPr>
          <w:rFonts w:ascii="Calibri" w:cs="Calibri" w:eastAsia="Calibri" w:hAnsi="Calibri"/>
          <w:color w:val="1A1A1A"/>
          <w:sz w:val="22"/>
          <w:szCs w:val="22"/>
        </w:rPr>
        <w:t xml:space="preserve">Ein DHCP-Discover ist ein </w:t>
      </w:r>
      <w:r>
        <w:rPr>
          <w:rFonts w:ascii="Calibri" w:cs="Calibri" w:eastAsia="Calibri" w:hAnsi="Calibri"/>
          <w:b/>
          <w:bCs/>
          <w:color w:val="1A1A1A"/>
          <w:sz w:val="22"/>
          <w:szCs w:val="22"/>
        </w:rPr>
        <w:t xml:space="preserve">Broadcast</w:t>
      </w:r>
      <w:r>
        <w:rPr>
          <w:rFonts w:ascii="Calibri" w:cs="Calibri" w:eastAsia="Calibri" w:hAnsi="Calibri"/>
          <w:color w:val="1A1A1A"/>
          <w:sz w:val="22"/>
          <w:szCs w:val="22"/>
        </w:rPr>
        <w:t xml:space="preserve"> — und Broadcasts überqueren keinen Router. Steht der DHCP-Server in einem anderen Subnetz als der Client, bekäme der Client ohne weitere Maßnahme keine Adresse.</w:t>
      </w:r>
    </w:p>
    <w:p>
      <w:pPr>
        <w:spacing w:after="120" w:line="276"/>
      </w:pPr>
      <w:r>
        <w:rPr>
          <w:rFonts w:ascii="Calibri" w:cs="Calibri" w:eastAsia="Calibri" w:hAnsi="Calibri"/>
          <w:color w:val="1A1A1A"/>
          <w:sz w:val="22"/>
          <w:szCs w:val="22"/>
        </w:rPr>
        <w:t xml:space="preserve">Die Lösung ist ein </w:t>
      </w:r>
      <w:r>
        <w:rPr>
          <w:rFonts w:ascii="Calibri" w:cs="Calibri" w:eastAsia="Calibri" w:hAnsi="Calibri"/>
          <w:b/>
          <w:bCs/>
          <w:color w:val="1A1A1A"/>
          <w:sz w:val="22"/>
          <w:szCs w:val="22"/>
        </w:rPr>
        <w:t xml:space="preserve">Relay-Agent</w:t>
      </w:r>
      <w:r>
        <w:rPr>
          <w:rFonts w:ascii="Calibri" w:cs="Calibri" w:eastAsia="Calibri" w:hAnsi="Calibri"/>
          <w:color w:val="1A1A1A"/>
          <w:sz w:val="22"/>
          <w:szCs w:val="22"/>
        </w:rPr>
        <w:t xml:space="preserve">. In der Praxis übernimmt der Router diese Aufgabe: Er fängt den Broadcast im Client-Subnetz ab und leitet ihn gezielt (per Unicast) an den DHCP-Server im anderen Subnetz weiter. Auf Cisco-Routern geschieht das über die Anweisung </w:t>
      </w:r>
      <w:r>
        <w:rPr>
          <w:rFonts w:ascii="Consolas" w:cs="Consolas" w:eastAsia="Consolas" w:hAnsi="Consolas"/>
          <w:color w:val="1A1A1A"/>
          <w:sz w:val="22"/>
          <w:szCs w:val="22"/>
        </w:rPr>
        <w:t xml:space="preserve">ip helper-address</w:t>
      </w:r>
      <w:r>
        <w:rPr>
          <w:rFonts w:ascii="Calibri" w:cs="Calibri" w:eastAsia="Calibri" w:hAnsi="Calibri"/>
          <w:color w:val="1A1A1A"/>
          <w:sz w:val="22"/>
          <w:szCs w:val="22"/>
        </w:rPr>
        <w:t xml:space="preserve"> am Interface des Client-Subnetzes: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interface GigabitEthernet0/0      ! Interface Richtung Client-Subnetz A</w:t>
            </w:r>
          </w:p>
          <w:p>
            <w:pPr>
              <w:spacing w:after="0" w:line="250"/>
            </w:pPr>
            <w:r>
              <w:rPr>
                <w:rFonts w:ascii="Consolas" w:cs="Consolas" w:eastAsia="Consolas" w:hAnsi="Consolas"/>
                <w:color w:val="D6E4F0"/>
                <w:sz w:val="19"/>
                <w:szCs w:val="19"/>
              </w:rPr>
              <w:t xml:space="preserve"> ip address 10.0.1.1 255.255.255.0</w:t>
            </w:r>
          </w:p>
          <w:p>
            <w:pPr>
              <w:spacing w:after="0" w:line="250"/>
            </w:pPr>
            <w:r>
              <w:rPr>
                <w:rFonts w:ascii="Consolas" w:cs="Consolas" w:eastAsia="Consolas" w:hAnsi="Consolas"/>
                <w:color w:val="D6E4F0"/>
                <w:sz w:val="19"/>
                <w:szCs w:val="19"/>
              </w:rPr>
              <w:t xml:space="preserve"> ip helper-address 10.0.2.10      ! IP des DHCP-Servers in Subnetz B</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6E4F0" w:sz="1"/>
              <w:left w:val="single" w:color="D6E4F0" w:sz="1"/>
              <w:bottom w:val="single" w:color="D6E4F0" w:sz="1"/>
              <w:right w:val="single" w:color="D6E4F0" w:sz="1"/>
            </w:tcBorders>
            <w:shd w:fill="D6E4F0" w:val="clear"/>
            <w:tcMar>
              <w:top w:type="dxa" w:w="120"/>
              <w:left w:type="dxa" w:w="160"/>
              <w:bottom w:type="dxa" w:w="120"/>
              <w:right w:type="dxa" w:w="160"/>
            </w:tcMar>
          </w:tcPr>
          <w:p>
            <w:pPr>
              <w:spacing w:after="60"/>
            </w:pPr>
            <w:r>
              <w:rPr>
                <w:rFonts w:ascii="Calibri" w:cs="Calibri" w:eastAsia="Calibri" w:hAnsi="Calibri"/>
                <w:b/>
                <w:bCs/>
                <w:color w:val="003366"/>
                <w:sz w:val="22"/>
                <w:szCs w:val="22"/>
              </w:rPr>
              <w:t xml:space="preserve">Merksatz</w:t>
            </w:r>
          </w:p>
          <w:p>
            <w:pPr>
              <w:spacing w:after="40" w:line="264"/>
            </w:pPr>
            <w:r>
              <w:rPr>
                <w:rFonts w:ascii="Calibri" w:cs="Calibri" w:eastAsia="Calibri" w:hAnsi="Calibri"/>
                <w:color w:val="1A1A1A"/>
                <w:sz w:val="21"/>
                <w:szCs w:val="21"/>
              </w:rPr>
              <w:t xml:space="preserve">Kein Relay → keine IP in fremden Subnetzen. Wenn Clients im selben Subnetz wie der DHCP-Server problemlos eine Adresse bekommen, in anderen Subnetzen aber nicht, fehlt fast immer die ip helper-address.</w:t>
            </w:r>
          </w:p>
        </w:tc>
      </w:tr>
    </w:tbl>
    <w:p>
      <w:pPr>
        <w:pStyle w:val="Heading1"/>
        <w:spacing w:after="140" w:before="320"/>
      </w:pPr>
      <w:r>
        <w:rPr>
          <w:rFonts w:ascii="Calibri" w:cs="Calibri" w:eastAsia="Calibri" w:hAnsi="Calibri"/>
          <w:b/>
          <w:bCs/>
          <w:color w:val="003366"/>
          <w:sz w:val="30"/>
          <w:szCs w:val="30"/>
        </w:rPr>
        <w:t xml:space="preserve">9  Ausfallkonzepte: Failover &amp; Split-Scope</w:t>
      </w:r>
    </w:p>
    <w:p>
      <w:pPr>
        <w:spacing w:after="120" w:line="276"/>
      </w:pPr>
      <w:r>
        <w:rPr>
          <w:rFonts w:ascii="Calibri" w:cs="Calibri" w:eastAsia="Calibri" w:hAnsi="Calibri"/>
          <w:color w:val="1A1A1A"/>
          <w:sz w:val="22"/>
          <w:szCs w:val="22"/>
        </w:rPr>
        <w:t xml:space="preserve">Damit die Adressvergabe einen Serverausfall übersteht, gibt es zwei Ansätze. Beim DHCP-Failover teilen sich zwei Server einen Scope und gleichen ihre Lease-Daten ab — im Modus Lastausgleich oder Hot Standby. Fällt ein Server aus, vergibt der andere nahtlos weiter. Der ältere Split-Scope-Ansatz teilt denselben Pool fest auf zwei Server auf (z. B. 80 % zu 20 %) mit verzögertem Start des zweiten Servers; er ist einfacher, aber weniger komfortabel als Failover.</w:t>
      </w:r>
    </w:p>
    <w:p>
      <w:pPr>
        <w:pStyle w:val="Heading1"/>
        <w:spacing w:after="140" w:before="320"/>
      </w:pPr>
      <w:r>
        <w:rPr>
          <w:rFonts w:ascii="Calibri" w:cs="Calibri" w:eastAsia="Calibri" w:hAnsi="Calibri"/>
          <w:b/>
          <w:bCs/>
          <w:color w:val="003366"/>
          <w:sz w:val="30"/>
          <w:szCs w:val="30"/>
        </w:rPr>
        <w:t xml:space="preserve">10  Linux-Parallele: bind9 &amp; ISC-DHCP</w:t>
      </w:r>
    </w:p>
    <w:p>
      <w:pPr>
        <w:spacing w:after="120" w:line="276"/>
      </w:pPr>
      <w:r>
        <w:rPr>
          <w:rFonts w:ascii="Calibri" w:cs="Calibri" w:eastAsia="Calibri" w:hAnsi="Calibri"/>
          <w:color w:val="1A1A1A"/>
          <w:sz w:val="22"/>
          <w:szCs w:val="22"/>
        </w:rPr>
        <w:t xml:space="preserve">Dieselben Konzepte finden sich unter Linux mit anderen Werkzeugen. DNS übernimmt bind9 (Dienst named) mit Zonendateien als Textfiles. DHCP übernimmt der isc-dhcp-server beziehungsweise dessen Nachfolger Kea, konfiguriert in dhcpd.conf:</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 /etc/dhcp/dhcpd.conf</w:t>
            </w:r>
          </w:p>
          <w:p>
            <w:pPr>
              <w:spacing w:after="0" w:line="250"/>
            </w:pPr>
            <w:r>
              <w:rPr>
                <w:rFonts w:ascii="Consolas" w:cs="Consolas" w:eastAsia="Consolas" w:hAnsi="Consolas"/>
                <w:color w:val="D6E4F0"/>
                <w:sz w:val="19"/>
                <w:szCs w:val="19"/>
              </w:rPr>
              <w:t xml:space="preserve">subnet 10.0.0.0 netmask 255.255.255.0 {</w:t>
            </w:r>
          </w:p>
          <w:p>
            <w:pPr>
              <w:spacing w:after="0" w:line="250"/>
            </w:pPr>
            <w:r>
              <w:rPr>
                <w:rFonts w:ascii="Consolas" w:cs="Consolas" w:eastAsia="Consolas" w:hAnsi="Consolas"/>
                <w:color w:val="D6E4F0"/>
                <w:sz w:val="19"/>
                <w:szCs w:val="19"/>
              </w:rPr>
              <w:t xml:space="preserve">  range 10.0.0.100 10.0.0.200;</w:t>
            </w:r>
          </w:p>
          <w:p>
            <w:pPr>
              <w:spacing w:after="0" w:line="250"/>
            </w:pPr>
            <w:r>
              <w:rPr>
                <w:rFonts w:ascii="Consolas" w:cs="Consolas" w:eastAsia="Consolas" w:hAnsi="Consolas"/>
                <w:color w:val="D6E4F0"/>
                <w:sz w:val="19"/>
                <w:szCs w:val="19"/>
              </w:rPr>
              <w:t xml:space="preserve">  option routers 10.0.0.1;</w:t>
            </w:r>
          </w:p>
          <w:p>
            <w:pPr>
              <w:spacing w:after="0" w:line="250"/>
            </w:pPr>
            <w:r>
              <w:rPr>
                <w:rFonts w:ascii="Consolas" w:cs="Consolas" w:eastAsia="Consolas" w:hAnsi="Consolas"/>
                <w:color w:val="D6E4F0"/>
                <w:sz w:val="19"/>
                <w:szCs w:val="19"/>
              </w:rPr>
              <w:t xml:space="preserve">  option domain-name-servers 10.0.0.10;</w:t>
            </w:r>
          </w:p>
          <w:p>
            <w:pPr>
              <w:spacing w:after="0" w:line="250"/>
            </w:pPr>
            <w:r>
              <w:rPr>
                <w:rFonts w:ascii="Consolas" w:cs="Consolas" w:eastAsia="Consolas" w:hAnsi="Consolas"/>
                <w:color w:val="D6E4F0"/>
                <w:sz w:val="19"/>
                <w:szCs w:val="19"/>
              </w:rPr>
              <w:t xml:space="preserve">  option domain-name "firma.de";</w:t>
            </w:r>
          </w:p>
          <w:p>
            <w:pPr>
              <w:spacing w:after="0" w:line="250"/>
            </w:pPr>
            <w:r>
              <w:rPr>
                <w:rFonts w:ascii="Consolas" w:cs="Consolas" w:eastAsia="Consolas" w:hAnsi="Consolas"/>
                <w:color w:val="D6E4F0"/>
                <w:sz w:val="19"/>
                <w:szCs w:val="19"/>
              </w:rPr>
              <w:t xml:space="preserve">}</w:t>
            </w:r>
          </w:p>
        </w:tc>
      </w:tr>
    </w:tbl>
    <w:p>
      <w:pPr>
        <w:pStyle w:val="Heading1"/>
        <w:spacing w:after="140" w:before="320"/>
      </w:pPr>
      <w:r>
        <w:rPr>
          <w:rFonts w:ascii="Calibri" w:cs="Calibri" w:eastAsia="Calibri" w:hAnsi="Calibri"/>
          <w:b/>
          <w:bCs/>
          <w:color w:val="003366"/>
          <w:sz w:val="30"/>
          <w:szCs w:val="30"/>
        </w:rPr>
        <w:t xml:space="preserve">11  Nutzen &amp; typische Fehler</w:t>
      </w:r>
    </w:p>
    <w:p>
      <w:pPr>
        <w:pStyle w:val="Heading2"/>
        <w:spacing w:after="100" w:before="220"/>
      </w:pPr>
      <w:r>
        <w:rPr>
          <w:rFonts w:ascii="Calibri" w:cs="Calibri" w:eastAsia="Calibri" w:hAnsi="Calibri"/>
          <w:b/>
          <w:bCs/>
          <w:color w:val="0066AA"/>
          <w:sz w:val="25"/>
          <w:szCs w:val="25"/>
        </w:rPr>
        <w:t xml:space="preserve">Nutzen</w:t>
      </w:r>
    </w:p>
    <w:p>
      <w:pPr>
        <w:pStyle w:val="ListParagraph"/>
        <w:numPr>
          <w:ilvl w:val="0"/>
          <w:numId w:val="2"/>
        </w:numPr>
        <w:spacing w:after="70" w:line="270"/>
      </w:pPr>
      <w:r>
        <w:rPr>
          <w:rFonts w:ascii="Calibri" w:cs="Calibri" w:eastAsia="Calibri" w:hAnsi="Calibri"/>
          <w:color w:val="1A1A1A"/>
          <w:sz w:val="22"/>
          <w:szCs w:val="22"/>
        </w:rPr>
        <w:t xml:space="preserve">Automatische, fehlerfreie IP-Vergabe ohne manuelle Pflege.</w:t>
      </w:r>
    </w:p>
    <w:p>
      <w:pPr>
        <w:pStyle w:val="ListParagraph"/>
        <w:numPr>
          <w:ilvl w:val="0"/>
          <w:numId w:val="2"/>
        </w:numPr>
        <w:spacing w:after="70" w:line="270"/>
      </w:pPr>
      <w:r>
        <w:rPr>
          <w:rFonts w:ascii="Calibri" w:cs="Calibri" w:eastAsia="Calibri" w:hAnsi="Calibri"/>
          <w:color w:val="1A1A1A"/>
          <w:sz w:val="22"/>
          <w:szCs w:val="22"/>
        </w:rPr>
        <w:t xml:space="preserve">Zentrale Namensauflösung im ganzen Netz.</w:t>
      </w:r>
    </w:p>
    <w:p>
      <w:pPr>
        <w:pStyle w:val="ListParagraph"/>
        <w:numPr>
          <w:ilvl w:val="0"/>
          <w:numId w:val="2"/>
        </w:numPr>
        <w:spacing w:after="70" w:line="270"/>
      </w:pPr>
      <w:r>
        <w:rPr>
          <w:rFonts w:ascii="Calibri" w:cs="Calibri" w:eastAsia="Calibri" w:hAnsi="Calibri"/>
          <w:color w:val="1A1A1A"/>
          <w:sz w:val="22"/>
          <w:szCs w:val="22"/>
        </w:rPr>
        <w:t xml:space="preserve">Ausfallsicherheit über Sekundär-DNS und DHCP-Failover.</w:t>
      </w:r>
    </w:p>
    <w:p>
      <w:pPr>
        <w:pStyle w:val="Heading2"/>
        <w:spacing w:after="100" w:before="220"/>
      </w:pPr>
      <w:r>
        <w:rPr>
          <w:rFonts w:ascii="Calibri" w:cs="Calibri" w:eastAsia="Calibri" w:hAnsi="Calibri"/>
          <w:b/>
          <w:bCs/>
          <w:color w:val="0066AA"/>
          <w:sz w:val="25"/>
          <w:szCs w:val="25"/>
        </w:rPr>
        <w:t xml:space="preserve">Typische Fehler</w:t>
      </w:r>
    </w:p>
    <w:p>
      <w:pPr>
        <w:pStyle w:val="ListParagraph"/>
        <w:numPr>
          <w:ilvl w:val="0"/>
          <w:numId w:val="2"/>
        </w:numPr>
        <w:spacing w:after="70" w:line="270"/>
      </w:pPr>
      <w:r>
        <w:rPr>
          <w:rFonts w:ascii="Calibri" w:cs="Calibri" w:eastAsia="Calibri" w:hAnsi="Calibri"/>
          <w:color w:val="1A1A1A"/>
          <w:sz w:val="22"/>
          <w:szCs w:val="22"/>
        </w:rPr>
        <w:t xml:space="preserve">SOA-Serien-Nummer nicht hochgezählt — der Zonentransfer bleibt aus.</w:t>
      </w:r>
    </w:p>
    <w:p>
      <w:pPr>
        <w:pStyle w:val="ListParagraph"/>
        <w:numPr>
          <w:ilvl w:val="0"/>
          <w:numId w:val="2"/>
        </w:numPr>
        <w:spacing w:after="70" w:line="270"/>
      </w:pPr>
      <w:r>
        <w:rPr>
          <w:rFonts w:ascii="Calibri" w:cs="Calibri" w:eastAsia="Calibri" w:hAnsi="Calibri"/>
          <w:color w:val="1A1A1A"/>
          <w:sz w:val="22"/>
          <w:szCs w:val="22"/>
        </w:rPr>
        <w:t xml:space="preserve">DHCP-Server in AD nicht autorisiert — er vergibt keine Adressen.</w:t>
      </w:r>
    </w:p>
    <w:p>
      <w:pPr>
        <w:pStyle w:val="ListParagraph"/>
        <w:numPr>
          <w:ilvl w:val="0"/>
          <w:numId w:val="2"/>
        </w:numPr>
        <w:spacing w:after="70" w:line="270"/>
      </w:pPr>
      <w:r>
        <w:rPr>
          <w:rFonts w:ascii="Calibri" w:cs="Calibri" w:eastAsia="Calibri" w:hAnsi="Calibri"/>
          <w:color w:val="1A1A1A"/>
          <w:sz w:val="22"/>
          <w:szCs w:val="22"/>
        </w:rPr>
        <w:t xml:space="preserve">Relay-Agent vergessen — Clients in anderen Subnetzen bleiben ohne IP.</w:t>
      </w:r>
    </w:p>
    <w:p>
      <w:pPr>
        <w:pStyle w:val="ListParagraph"/>
        <w:numPr>
          <w:ilvl w:val="0"/>
          <w:numId w:val="2"/>
        </w:numPr>
        <w:spacing w:after="70" w:line="270"/>
      </w:pPr>
      <w:r>
        <w:rPr>
          <w:rFonts w:ascii="Calibri" w:cs="Calibri" w:eastAsia="Calibri" w:hAnsi="Calibri"/>
          <w:color w:val="1A1A1A"/>
          <w:sz w:val="22"/>
          <w:szCs w:val="22"/>
        </w:rPr>
        <w:t xml:space="preserve">Fehlende Reverse-Zone — die PTR-Auflösung scheitert.</w:t>
      </w:r>
    </w:p>
    <w:p>
      <w:pPr>
        <w:pStyle w:val="Heading1"/>
        <w:spacing w:after="140" w:before="320"/>
      </w:pPr>
      <w:r>
        <w:rPr>
          <w:rFonts w:ascii="Calibri" w:cs="Calibri" w:eastAsia="Calibri" w:hAnsi="Calibri"/>
          <w:b/>
          <w:bCs/>
          <w:color w:val="003366"/>
          <w:sz w:val="30"/>
          <w:szCs w:val="30"/>
        </w:rPr>
        <w:t xml:space="preserve">Zusammenfassung</w:t>
      </w:r>
    </w:p>
    <w:p>
      <w:pPr>
        <w:spacing w:after="120" w:line="276"/>
      </w:pPr>
      <w:r>
        <w:rPr>
          <w:rFonts w:ascii="Calibri" w:cs="Calibri" w:eastAsia="Calibri" w:hAnsi="Calibri"/>
          <w:color w:val="1A1A1A"/>
          <w:sz w:val="22"/>
          <w:szCs w:val="22"/>
        </w:rPr>
        <w:t xml:space="preserve">DNS verwaltet Namen in Zonen mit Resource Records; primäre und sekundäre Server gleichen sich über den Zonentransfer ab, gesteuert durch die SOA-Serien-Nummer. DHCP vergibt IP-Konfiguration über Scopes mit Optionen, Reservierungen und Ausschlüssen. Über Subnetzgrenzen hinweg wird ein Relay-Agent benötigt, da Broadcasts keinen Router passieren. Ausfallsicherheit liefern Sekundär-DNS sowie DHCP-Failover oder Split-Scope. Unter Linux übernehmen bind9 und ISC-DHCP/Kea dieselben Aufgaben.</w:t>
      </w:r>
    </w:p>
    <w:p>
      <w:pPr>
        <w:pStyle w:val="Heading1"/>
        <w:spacing w:after="140" w:before="320"/>
      </w:pPr>
      <w:r>
        <w:rPr>
          <w:rFonts w:ascii="Calibri" w:cs="Calibri" w:eastAsia="Calibri" w:hAnsi="Calibri"/>
          <w:b/>
          <w:bCs/>
          <w:color w:val="003366"/>
          <w:sz w:val="30"/>
          <w:szCs w:val="30"/>
        </w:rPr>
        <w:t xml:space="preserve">Glossar / Abkürzungen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6726"/>
      </w:tblGrid>
      <w:tr>
        <w:trPr>
          <w:tblHeader/>
        </w:trPr>
        <w:tc>
          <w:tcPr>
            <w:tcW w:type="dxa" w:w="23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Begriff</w:t>
            </w:r>
          </w:p>
        </w:tc>
        <w:tc>
          <w:tcPr>
            <w:tcW w:type="dxa" w:w="6726"/>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Bedeutung</w:t>
            </w:r>
          </w:p>
        </w:tc>
      </w:tr>
      <w:tr>
        <w:tc>
          <w:tcPr>
            <w:tcW w:type="dxa" w:w="23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Zone</w:t>
            </w:r>
          </w:p>
        </w:tc>
        <w:tc>
          <w:tcPr>
            <w:tcW w:type="dxa" w:w="67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verwalteter Abschnitt des DNS-Namensraums</w:t>
            </w:r>
          </w:p>
        </w:tc>
      </w:tr>
      <w:tr>
        <w:tc>
          <w:tcPr>
            <w:tcW w:type="dxa" w:w="23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A / AAAA</w:t>
            </w:r>
          </w:p>
        </w:tc>
        <w:tc>
          <w:tcPr>
            <w:tcW w:type="dxa" w:w="67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Resource Record: Name in IPv4- bzw. IPv6-Adresse</w:t>
            </w:r>
          </w:p>
        </w:tc>
      </w:tr>
      <w:tr>
        <w:tc>
          <w:tcPr>
            <w:tcW w:type="dxa" w:w="23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PTR</w:t>
            </w:r>
          </w:p>
        </w:tc>
        <w:tc>
          <w:tcPr>
            <w:tcW w:type="dxa" w:w="67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Reverse-Record: IP-Adresse in Name</w:t>
            </w:r>
          </w:p>
        </w:tc>
      </w:tr>
      <w:tr>
        <w:tc>
          <w:tcPr>
            <w:tcW w:type="dxa" w:w="23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SOA</w:t>
            </w:r>
          </w:p>
        </w:tc>
        <w:tc>
          <w:tcPr>
            <w:tcW w:type="dxa" w:w="67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Start of Authority — Zonenkopf mit Serien-Nummer</w:t>
            </w:r>
          </w:p>
        </w:tc>
      </w:tr>
      <w:tr>
        <w:tc>
          <w:tcPr>
            <w:tcW w:type="dxa" w:w="23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AXFR / IXFR</w:t>
            </w:r>
          </w:p>
        </w:tc>
        <w:tc>
          <w:tcPr>
            <w:tcW w:type="dxa" w:w="67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vollständiger / inkrementeller Zonentransfer</w:t>
            </w:r>
          </w:p>
        </w:tc>
      </w:tr>
      <w:tr>
        <w:tc>
          <w:tcPr>
            <w:tcW w:type="dxa" w:w="23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Scope</w:t>
            </w:r>
          </w:p>
        </w:tc>
        <w:tc>
          <w:tcPr>
            <w:tcW w:type="dxa" w:w="67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DHCP-Adressbereich eines Subnetzes</w:t>
            </w:r>
          </w:p>
        </w:tc>
      </w:tr>
      <w:tr>
        <w:tc>
          <w:tcPr>
            <w:tcW w:type="dxa" w:w="23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Lease</w:t>
            </w:r>
          </w:p>
        </w:tc>
        <w:tc>
          <w:tcPr>
            <w:tcW w:type="dxa" w:w="67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befristete Adressvergabe an einen Client</w:t>
            </w:r>
          </w:p>
        </w:tc>
      </w:tr>
      <w:tr>
        <w:tc>
          <w:tcPr>
            <w:tcW w:type="dxa" w:w="23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Reservierung</w:t>
            </w:r>
          </w:p>
        </w:tc>
        <w:tc>
          <w:tcPr>
            <w:tcW w:type="dxa" w:w="67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feste IP über MAC-Bindung</w:t>
            </w:r>
          </w:p>
        </w:tc>
      </w:tr>
      <w:tr>
        <w:tc>
          <w:tcPr>
            <w:tcW w:type="dxa" w:w="23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Relay-Agent</w:t>
            </w:r>
          </w:p>
        </w:tc>
        <w:tc>
          <w:tcPr>
            <w:tcW w:type="dxa" w:w="67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leitet DHCP über Subnetzgrenzen weiter</w:t>
            </w:r>
          </w:p>
        </w:tc>
      </w:tr>
      <w:tr>
        <w:tc>
          <w:tcPr>
            <w:tcW w:type="dxa" w:w="23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DORA</w:t>
            </w:r>
          </w:p>
        </w:tc>
        <w:tc>
          <w:tcPr>
            <w:tcW w:type="dxa" w:w="67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Discover, Offer, Request, Acknowledge</w:t>
            </w:r>
          </w:p>
        </w:tc>
      </w:tr>
    </w:tbl>
    <w:p>
      <w:pPr>
        <w:pStyle w:val="Heading1"/>
        <w:spacing w:after="140" w:before="320"/>
      </w:pPr>
      <w:r>
        <w:rPr>
          <w:rFonts w:ascii="Calibri" w:cs="Calibri" w:eastAsia="Calibri" w:hAnsi="Calibri"/>
          <w:b/>
          <w:bCs/>
          <w:color w:val="003366"/>
          <w:sz w:val="30"/>
          <w:szCs w:val="30"/>
        </w:rPr>
        <w:t xml:space="preserve">Kontrollfragen zur Selbstüberprüfung</w:t>
      </w:r>
    </w:p>
    <w:p>
      <w:pPr>
        <w:pStyle w:val="ListParagraph"/>
        <w:numPr>
          <w:ilvl w:val="0"/>
          <w:numId w:val="3"/>
        </w:numPr>
        <w:spacing w:after="90" w:line="270"/>
      </w:pPr>
      <w:r>
        <w:rPr>
          <w:rFonts w:ascii="Calibri" w:cs="Calibri" w:eastAsia="Calibri" w:hAnsi="Calibri"/>
          <w:color w:val="1A1A1A"/>
          <w:sz w:val="22"/>
          <w:szCs w:val="22"/>
        </w:rPr>
        <w:t xml:space="preserve">Worin unterscheiden sich Forward- und Reverse-Lookup-Zone? Welcher Record-Typ steckt jeweils dahinter?</w:t>
      </w:r>
    </w:p>
    <w:p>
      <w:pPr>
        <w:pStyle w:val="ListParagraph"/>
        <w:numPr>
          <w:ilvl w:val="0"/>
          <w:numId w:val="3"/>
        </w:numPr>
        <w:spacing w:after="90" w:line="270"/>
      </w:pPr>
      <w:r>
        <w:rPr>
          <w:rFonts w:ascii="Calibri" w:cs="Calibri" w:eastAsia="Calibri" w:hAnsi="Calibri"/>
          <w:color w:val="1A1A1A"/>
          <w:sz w:val="22"/>
          <w:szCs w:val="22"/>
        </w:rPr>
        <w:t xml:space="preserve">Erklären Sie die Aufgabe der Serien-Nummer im SOA-Record beim Zonentransfer.</w:t>
      </w:r>
    </w:p>
    <w:p>
      <w:pPr>
        <w:pStyle w:val="ListParagraph"/>
        <w:numPr>
          <w:ilvl w:val="0"/>
          <w:numId w:val="3"/>
        </w:numPr>
        <w:spacing w:after="90" w:line="270"/>
      </w:pPr>
      <w:r>
        <w:rPr>
          <w:rFonts w:ascii="Calibri" w:cs="Calibri" w:eastAsia="Calibri" w:hAnsi="Calibri"/>
          <w:color w:val="1A1A1A"/>
          <w:sz w:val="22"/>
          <w:szCs w:val="22"/>
        </w:rPr>
        <w:t xml:space="preserve">Nennen Sie die DHCP-Optionen 003, 006 und 015 mit ihrer Bedeutung.</w:t>
      </w:r>
    </w:p>
    <w:p>
      <w:pPr>
        <w:pStyle w:val="ListParagraph"/>
        <w:numPr>
          <w:ilvl w:val="0"/>
          <w:numId w:val="3"/>
        </w:numPr>
        <w:spacing w:after="90" w:line="270"/>
      </w:pPr>
      <w:r>
        <w:rPr>
          <w:rFonts w:ascii="Calibri" w:cs="Calibri" w:eastAsia="Calibri" w:hAnsi="Calibri"/>
          <w:color w:val="1A1A1A"/>
          <w:sz w:val="22"/>
          <w:szCs w:val="22"/>
        </w:rPr>
        <w:t xml:space="preserve">Wozu dient eine Reservierung, wozu ein Ausschluss? Worin unterscheiden sie sich?</w:t>
      </w:r>
    </w:p>
    <w:p>
      <w:pPr>
        <w:pStyle w:val="ListParagraph"/>
        <w:numPr>
          <w:ilvl w:val="0"/>
          <w:numId w:val="3"/>
        </w:numPr>
        <w:spacing w:after="90" w:line="270"/>
      </w:pPr>
      <w:r>
        <w:rPr>
          <w:rFonts w:ascii="Calibri" w:cs="Calibri" w:eastAsia="Calibri" w:hAnsi="Calibri"/>
          <w:color w:val="1A1A1A"/>
          <w:sz w:val="22"/>
          <w:szCs w:val="22"/>
        </w:rPr>
        <w:t xml:space="preserve">Begründen Sie, warum ein DHCP-Server in einem anderen Subnetz einen Relay-Agent erfordert.</w:t>
      </w:r>
    </w:p>
    <w:p>
      <w:pPr>
        <w:pStyle w:val="ListParagraph"/>
        <w:numPr>
          <w:ilvl w:val="0"/>
          <w:numId w:val="3"/>
        </w:numPr>
        <w:spacing w:after="90" w:line="270"/>
      </w:pPr>
      <w:r>
        <w:rPr>
          <w:rFonts w:ascii="Calibri" w:cs="Calibri" w:eastAsia="Calibri" w:hAnsi="Calibri"/>
          <w:color w:val="1A1A1A"/>
          <w:sz w:val="22"/>
          <w:szCs w:val="22"/>
        </w:rPr>
        <w:t xml:space="preserve">Vergleichen Sie DHCP-Failover und Split-Scope in je einem Satz.</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4" w:space="4"/>
      </w:pBdr>
      <w:tabs>
        <w:tab w:val="right" w:pos="9026"/>
      </w:tabs>
      <w:spacing w:before="0"/>
    </w:pPr>
    <w:r>
      <w:rPr>
        <w:rFonts w:ascii="Calibri" w:cs="Calibri" w:eastAsia="Calibri" w:hAnsi="Calibri"/>
        <w:color w:val="5A6B7B"/>
        <w:sz w:val="16"/>
        <w:szCs w:val="16"/>
      </w:rPr>
      <w:t xml:space="preserve">[Vor- und Nachname]   ·   Datum: [Datum]</w:t>
    </w:r>
    <w:r>
      <w:rPr>
        <w:rFonts w:ascii="Calibri" w:cs="Calibri" w:eastAsia="Calibri" w:hAnsi="Calibri"/>
        <w:color w:val="5A6B7B"/>
        <w:sz w:val="16"/>
        <w:szCs w:val="16"/>
      </w:rPr>
      <w:t xml:space="preserve">	Seite </w:t>
    </w:r>
    <w:r>
      <w:rPr>
        <w:rFonts w:ascii="Calibri" w:cs="Calibri" w:eastAsia="Calibri" w:hAnsi="Calibri"/>
        <w:color w:val="5A6B7B"/>
        <w:sz w:val="16"/>
        <w:szCs w:val="16"/>
      </w:rPr>
      <w:fldChar w:fldCharType="begin"/>
      <w:instrText xml:space="preserve">PAGE</w:instrText>
      <w:fldChar w:fldCharType="separate"/>
      <w:fldChar w:fldCharType="end"/>
    </w:r>
    <w:r>
      <w:rPr>
        <w:rFonts w:ascii="Calibri" w:cs="Calibri" w:eastAsia="Calibri" w:hAnsi="Calibri"/>
        <w:color w:val="5A6B7B"/>
        <w:sz w:val="16"/>
        <w:szCs w:val="16"/>
      </w:rPr>
      <w:t xml:space="preserve"> von </w:t>
    </w:r>
    <w:r>
      <w:rPr>
        <w:rFonts w:ascii="Calibri" w:cs="Calibri" w:eastAsia="Calibri" w:hAnsi="Calibri"/>
        <w:color w:val="5A6B7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4" w:space="4"/>
      </w:pBdr>
      <w:tabs>
        <w:tab w:val="right" w:pos="9026"/>
      </w:tabs>
      <w:spacing w:after="0"/>
    </w:pPr>
    <w:r>
      <w:rPr>
        <w:rFonts w:ascii="Calibri" w:cs="Calibri" w:eastAsia="Calibri" w:hAnsi="Calibri"/>
        <w:color w:val="5A6B7B"/>
        <w:sz w:val="16"/>
        <w:szCs w:val="16"/>
      </w:rPr>
      <w:t xml:space="preserve">Modul K – Serverdienste bereitstellen</w:t>
    </w:r>
    <w:r>
      <w:rPr>
        <w:rFonts w:ascii="Calibri" w:cs="Calibri" w:eastAsia="Calibri" w:hAnsi="Calibri"/>
        <w:color w:val="5A6B7B"/>
        <w:sz w:val="16"/>
        <w:szCs w:val="16"/>
      </w:rPr>
      <w:t xml:space="preserve">	Etappe 2: DNS &amp; DHCP serverseitig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0066AA"/>
      </w:rPr>
    </w:lvl>
  </w:abstractNum>
  <w:abstractNum w:abstractNumId="3" w15:restartNumberingAfterBreak="0">
    <w:multiLevelType w:val="hybridMultilevel"/>
    <w:lvl w:ilvl="0" w15:tentative="1">
      <w:start w:val="1"/>
      <w:numFmt w:val="decimal"/>
      <w:lvlText w:val="%1."/>
      <w:lvlJc w:val="left"/>
      <w:pPr>
        <w:ind w:left="4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K – Etappe 2 – Handout DNS &amp; DHCP serverseitig</dc:title>
  <dc:creator>[Vor- und Nachname]</dc:creator>
  <cp:lastModifiedBy>Un-named</cp:lastModifiedBy>
  <cp:revision>1</cp:revision>
  <dcterms:created xsi:type="dcterms:W3CDTF">2026-06-25T08:38:57.970Z</dcterms:created>
  <dcterms:modified xsi:type="dcterms:W3CDTF">2026-06-25T08:38:57.971Z</dcterms:modified>
</cp:coreProperties>
</file>

<file path=docProps/custom.xml><?xml version="1.0" encoding="utf-8"?>
<Properties xmlns="http://schemas.openxmlformats.org/officeDocument/2006/custom-properties" xmlns:vt="http://schemas.openxmlformats.org/officeDocument/2006/docPropsVTypes"/>
</file>