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8"/>
          <w:szCs w:val="38"/>
        </w:rPr>
        <w:t xml:space="preserve">Handout — Etappe 1: Verzeichnisdienste</w:t>
      </w:r>
    </w:p>
    <w:p>
      <w:pPr>
        <w:pBdr>
          <w:bottom w:val="single" w:color="F0A500" w:sz="8" w:space="6"/>
        </w:pBdr>
        <w:spacing w:after="60"/>
      </w:pPr>
      <w:r>
        <w:rPr>
          <w:rFonts w:ascii="Calibri" w:cs="Calibri" w:eastAsia="Calibri" w:hAnsi="Calibri"/>
          <w:color w:val="5A6B7B"/>
          <w:sz w:val="23"/>
          <w:szCs w:val="23"/>
        </w:rPr>
        <w:t xml:space="preserve">Active Directory &amp; LDAP als Fundament zentraler Identitätsverwaltung</w:t>
      </w:r>
    </w:p>
    <w:p>
      <w:pPr>
        <w:spacing w:after="120" w:line="276"/>
      </w:pPr>
      <w:r>
        <w:rPr>
          <w:rFonts w:ascii="Calibri" w:cs="Calibri" w:eastAsia="Calibri" w:hAnsi="Calibri"/>
          <w:color w:val="5A6B7B"/>
          <w:sz w:val="20"/>
          <w:szCs w:val="20"/>
        </w:rPr>
        <w:t xml:space="preserve">Lernfeld 10 (FISI)  ·  Begleitmaterial zur Einstiegspräsentation. Dieses Handout enthält den ausführlichen Fließtext zu den Stichpunkten der Folien.</w:t>
      </w:r>
    </w:p>
    <w:p>
      <w:pPr>
        <w:pStyle w:val="Heading1"/>
        <w:spacing w:after="140" w:before="320"/>
      </w:pPr>
      <w:r>
        <w:rPr>
          <w:rFonts w:ascii="Calibri" w:cs="Calibri" w:eastAsia="Calibri" w:hAnsi="Calibri"/>
          <w:b/>
          <w:bCs/>
          <w:color w:val="003366"/>
          <w:sz w:val="30"/>
          <w:szCs w:val="30"/>
        </w:rPr>
        <w:t xml:space="preserve">Lernziele</w:t>
      </w:r>
    </w:p>
    <w:p>
      <w:pPr>
        <w:spacing w:after="120" w:line="276"/>
      </w:pPr>
      <w:r>
        <w:rPr>
          <w:rFonts w:ascii="Calibri" w:cs="Calibri" w:eastAsia="Calibri" w:hAnsi="Calibri"/>
          <w:color w:val="1A1A1A"/>
          <w:sz w:val="22"/>
          <w:szCs w:val="22"/>
        </w:rPr>
        <w:t xml:space="preserve">Nach dieser Etappe können Sie …</w:t>
      </w:r>
    </w:p>
    <w:p>
      <w:pPr>
        <w:pStyle w:val="ListParagraph"/>
        <w:numPr>
          <w:ilvl w:val="0"/>
          <w:numId w:val="2"/>
        </w:numPr>
        <w:spacing w:after="70" w:line="270"/>
      </w:pPr>
      <w:r>
        <w:rPr>
          <w:rFonts w:ascii="Calibri" w:cs="Calibri" w:eastAsia="Calibri" w:hAnsi="Calibri"/>
          <w:color w:val="1A1A1A"/>
          <w:sz w:val="22"/>
          <w:szCs w:val="22"/>
        </w:rPr>
        <w:t xml:space="preserve">den Zweck eines Verzeichnisdienstes erklären und von einer klassischen Datenbank abgrenzen,</w:t>
      </w:r>
    </w:p>
    <w:p>
      <w:pPr>
        <w:pStyle w:val="ListParagraph"/>
        <w:numPr>
          <w:ilvl w:val="0"/>
          <w:numId w:val="2"/>
        </w:numPr>
        <w:spacing w:after="70" w:line="270"/>
      </w:pPr>
      <w:r>
        <w:rPr>
          <w:rFonts w:ascii="Calibri" w:cs="Calibri" w:eastAsia="Calibri" w:hAnsi="Calibri"/>
          <w:color w:val="1A1A1A"/>
          <w:sz w:val="22"/>
          <w:szCs w:val="22"/>
        </w:rPr>
        <w:t xml:space="preserve">die LDAP-Grundbegriffe DN, RDN, Attribut, Objektklasse und Schema korrekt verwenden,</w:t>
      </w:r>
    </w:p>
    <w:p>
      <w:pPr>
        <w:pStyle w:val="ListParagraph"/>
        <w:numPr>
          <w:ilvl w:val="0"/>
          <w:numId w:val="2"/>
        </w:numPr>
        <w:spacing w:after="70" w:line="270"/>
      </w:pPr>
      <w:r>
        <w:rPr>
          <w:rFonts w:ascii="Calibri" w:cs="Calibri" w:eastAsia="Calibri" w:hAnsi="Calibri"/>
          <w:color w:val="1A1A1A"/>
          <w:sz w:val="22"/>
          <w:szCs w:val="22"/>
        </w:rPr>
        <w:t xml:space="preserve">den hierarchischen Aufbau von Active Directory (Forest, Tree, Domain, OU) beschreiben,</w:t>
      </w:r>
    </w:p>
    <w:p>
      <w:pPr>
        <w:pStyle w:val="ListParagraph"/>
        <w:numPr>
          <w:ilvl w:val="0"/>
          <w:numId w:val="2"/>
        </w:numPr>
        <w:spacing w:after="70" w:line="270"/>
      </w:pPr>
      <w:r>
        <w:rPr>
          <w:rFonts w:ascii="Calibri" w:cs="Calibri" w:eastAsia="Calibri" w:hAnsi="Calibri"/>
          <w:color w:val="1A1A1A"/>
          <w:sz w:val="22"/>
          <w:szCs w:val="22"/>
        </w:rPr>
        <w:t xml:space="preserve">die Rolle von Domänencontroller, DNS und Kerberos im AD-Verbund einordnen,</w:t>
      </w:r>
    </w:p>
    <w:p>
      <w:pPr>
        <w:pStyle w:val="ListParagraph"/>
        <w:numPr>
          <w:ilvl w:val="0"/>
          <w:numId w:val="2"/>
        </w:numPr>
        <w:spacing w:after="70" w:line="270"/>
      </w:pPr>
      <w:r>
        <w:rPr>
          <w:rFonts w:ascii="Calibri" w:cs="Calibri" w:eastAsia="Calibri" w:hAnsi="Calibri"/>
          <w:color w:val="1A1A1A"/>
          <w:sz w:val="22"/>
          <w:szCs w:val="22"/>
        </w:rPr>
        <w:t xml:space="preserve">Active Directory und openLDAP gegenüberstellen und Einsatzszenarien bewerten.</w:t>
      </w:r>
    </w:p>
    <w:p>
      <w:pPr>
        <w:pStyle w:val="Heading1"/>
        <w:spacing w:after="140" w:before="320"/>
      </w:pPr>
      <w:r>
        <w:rPr>
          <w:rFonts w:ascii="Calibri" w:cs="Calibri" w:eastAsia="Calibri" w:hAnsi="Calibri"/>
          <w:b/>
          <w:bCs/>
          <w:color w:val="003366"/>
          <w:sz w:val="30"/>
          <w:szCs w:val="30"/>
        </w:rPr>
        <w:t xml:space="preserve">1  Warum zentrale Verwaltung?</w:t>
      </w:r>
    </w:p>
    <w:p>
      <w:pPr>
        <w:spacing w:after="120" w:line="276"/>
      </w:pPr>
      <w:r>
        <w:rPr>
          <w:rFonts w:ascii="Calibri" w:cs="Calibri" w:eastAsia="Calibri" w:hAnsi="Calibri"/>
          <w:color w:val="1A1A1A"/>
          <w:sz w:val="22"/>
          <w:szCs w:val="22"/>
        </w:rPr>
        <w:t xml:space="preserve">Stellen Sie sich einen Betrieb mit 60 Mitarbeitenden, 40 Arbeitsplatz-PCs und 5 Servern vor. Ohne einen Verzeichnisdienst wird jedes Benutzerkonto lokal auf dem jeweiligen Gerät angelegt und gepflegt. Das führt schnell zu erheblichem Aufwand und zu Sicherheitslücken.</w:t>
      </w:r>
    </w:p>
    <w:p>
      <w:pPr>
        <w:pStyle w:val="Heading2"/>
        <w:spacing w:after="100" w:before="220"/>
      </w:pPr>
      <w:r>
        <w:rPr>
          <w:rFonts w:ascii="Calibri" w:cs="Calibri" w:eastAsia="Calibri" w:hAnsi="Calibri"/>
          <w:b/>
          <w:bCs/>
          <w:color w:val="0066AA"/>
          <w:sz w:val="25"/>
          <w:szCs w:val="25"/>
        </w:rPr>
        <w:t xml:space="preserve">Das Problem</w:t>
      </w:r>
    </w:p>
    <w:p>
      <w:pPr>
        <w:spacing w:after="120" w:line="276"/>
      </w:pPr>
      <w:r>
        <w:rPr>
          <w:rFonts w:ascii="Calibri" w:cs="Calibri" w:eastAsia="Calibri" w:hAnsi="Calibri"/>
          <w:color w:val="1A1A1A"/>
          <w:sz w:val="22"/>
          <w:szCs w:val="22"/>
        </w:rPr>
        <w:t xml:space="preserve">Möchte eine Person ihr Passwort ändern, müsste dies theoretisch auf jedem Gerät einzeln geschehen, an dem sie sich anmeldet. Es gibt kein einheitliches Anmelden (Single Sign-On), Berechtigungen werden pro Gerät vergeben und sind dadurch unübersichtlich und fehleranfällig. Beim Eintritt eines neuen Mitarbeiters entsteht vielfacher Einrichtungsaufwand, beim Austritt bleibt häufig irgendwo ein aktives Konto zurück — ein klassisches Sicherheitsrisiko.</w:t>
      </w:r>
    </w:p>
    <w:p>
      <w:pPr>
        <w:pStyle w:val="Heading2"/>
        <w:spacing w:after="100" w:before="220"/>
      </w:pPr>
      <w:r>
        <w:rPr>
          <w:rFonts w:ascii="Calibri" w:cs="Calibri" w:eastAsia="Calibri" w:hAnsi="Calibri"/>
          <w:b/>
          <w:bCs/>
          <w:color w:val="0066AA"/>
          <w:sz w:val="25"/>
          <w:szCs w:val="25"/>
        </w:rPr>
        <w:t xml:space="preserve">Die Lösung</w:t>
      </w:r>
    </w:p>
    <w:p>
      <w:pPr>
        <w:spacing w:after="120" w:line="276"/>
      </w:pPr>
      <w:r>
        <w:rPr>
          <w:rFonts w:ascii="Calibri" w:cs="Calibri" w:eastAsia="Calibri" w:hAnsi="Calibri"/>
          <w:color w:val="1A1A1A"/>
          <w:sz w:val="22"/>
          <w:szCs w:val="22"/>
        </w:rPr>
        <w:t xml:space="preserve">Ein Verzeichnisdienst bündelt alle Identitäten und Ressourcen an einer zentralen Stelle. Ein Konto wird einmal angelegt und ist dann netzwerkweit gültig. Anwender melden sich einmal an und erreichen alle freigegebenen Dienste (Single Sign-On). Rechte werden nicht mehr pro Person, sondern über Gruppen vergeben, und Richtlinien lassen sich zentral durchsetzen.</w:t>
      </w:r>
    </w:p>
    <w:p>
      <w:pPr>
        <w:pStyle w:val="Heading1"/>
        <w:spacing w:after="140" w:before="320"/>
      </w:pPr>
      <w:r>
        <w:rPr>
          <w:rFonts w:ascii="Calibri" w:cs="Calibri" w:eastAsia="Calibri" w:hAnsi="Calibri"/>
          <w:b/>
          <w:bCs/>
          <w:color w:val="003366"/>
          <w:sz w:val="30"/>
          <w:szCs w:val="30"/>
        </w:rPr>
        <w:t xml:space="preserve">2  Was ist ein Verzeichnisdienst?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Definition</w:t>
            </w:r>
          </w:p>
          <w:p>
            <w:pPr>
              <w:spacing w:after="40" w:line="264"/>
            </w:pPr>
            <w:r>
              <w:rPr>
                <w:rFonts w:ascii="Calibri" w:cs="Calibri" w:eastAsia="Calibri" w:hAnsi="Calibri"/>
                <w:color w:val="1A1A1A"/>
                <w:sz w:val="21"/>
                <w:szCs w:val="21"/>
              </w:rPr>
              <w:t xml:space="preserve">Ein Verzeichnisdienst ist eine zentrale, hierarchisch organisierte Datenbank, die Informationen über die Objekte eines Netzwerks (Benutzer, Gruppen, Geräte, Dienste) speichert und netzwerkweit abfragbar macht.</w:t>
            </w:r>
          </w:p>
        </w:tc>
      </w:tr>
    </w:tbl>
    <w:p>
      <w:pPr>
        <w:spacing w:after="80"/>
      </w:pPr>
    </w:p>
    <w:p>
      <w:pPr>
        <w:pStyle w:val="Heading2"/>
        <w:spacing w:after="100" w:before="220"/>
      </w:pPr>
      <w:r>
        <w:rPr>
          <w:rFonts w:ascii="Calibri" w:cs="Calibri" w:eastAsia="Calibri" w:hAnsi="Calibri"/>
          <w:b/>
          <w:bCs/>
          <w:color w:val="0066AA"/>
          <w:sz w:val="25"/>
          <w:szCs w:val="25"/>
        </w:rPr>
        <w:t xml:space="preserve">Typische Merkmale</w:t>
      </w:r>
    </w:p>
    <w:p>
      <w:pPr>
        <w:pStyle w:val="ListParagraph"/>
        <w:numPr>
          <w:ilvl w:val="0"/>
          <w:numId w:val="2"/>
        </w:numPr>
        <w:spacing w:after="70" w:line="270"/>
      </w:pPr>
      <w:r>
        <w:rPr>
          <w:rFonts w:ascii="Calibri" w:cs="Calibri" w:eastAsia="Calibri" w:hAnsi="Calibri"/>
          <w:color w:val="1A1A1A"/>
          <w:sz w:val="22"/>
          <w:szCs w:val="22"/>
        </w:rPr>
        <w:t xml:space="preserve">Hierarchisch aufgebaut (Baumstruktur) statt relational/tabellarisch.</w:t>
      </w:r>
    </w:p>
    <w:p>
      <w:pPr>
        <w:pStyle w:val="ListParagraph"/>
        <w:numPr>
          <w:ilvl w:val="0"/>
          <w:numId w:val="2"/>
        </w:numPr>
        <w:spacing w:after="70" w:line="270"/>
      </w:pPr>
      <w:r>
        <w:rPr>
          <w:rFonts w:ascii="Calibri" w:cs="Calibri" w:eastAsia="Calibri" w:hAnsi="Calibri"/>
          <w:color w:val="1A1A1A"/>
          <w:sz w:val="22"/>
          <w:szCs w:val="22"/>
        </w:rPr>
        <w:t xml:space="preserve">Leseoptimiert: Es wird sehr häufig abgefragt, aber vergleichsweise selten geändert.</w:t>
      </w:r>
    </w:p>
    <w:p>
      <w:pPr>
        <w:pStyle w:val="ListParagraph"/>
        <w:numPr>
          <w:ilvl w:val="0"/>
          <w:numId w:val="2"/>
        </w:numPr>
        <w:spacing w:after="70" w:line="270"/>
      </w:pPr>
      <w:r>
        <w:rPr>
          <w:rFonts w:ascii="Calibri" w:cs="Calibri" w:eastAsia="Calibri" w:hAnsi="Calibri"/>
          <w:color w:val="1A1A1A"/>
          <w:sz w:val="22"/>
          <w:szCs w:val="22"/>
        </w:rPr>
        <w:t xml:space="preserve">Attributbasiert: Jedes Objekt besitzt Eigenschaften, z. B. Name, E-Mail-Adresse, Abteilung.</w:t>
      </w:r>
    </w:p>
    <w:p>
      <w:pPr>
        <w:pStyle w:val="ListParagraph"/>
        <w:numPr>
          <w:ilvl w:val="0"/>
          <w:numId w:val="2"/>
        </w:numPr>
        <w:spacing w:after="70" w:line="270"/>
      </w:pPr>
      <w:r>
        <w:rPr>
          <w:rFonts w:ascii="Calibri" w:cs="Calibri" w:eastAsia="Calibri" w:hAnsi="Calibri"/>
          <w:color w:val="1A1A1A"/>
          <w:sz w:val="22"/>
          <w:szCs w:val="22"/>
        </w:rPr>
        <w:t xml:space="preserve">Standardisierter Zugriff über das Protokoll LDAP.</w:t>
      </w:r>
    </w:p>
    <w:p>
      <w:pPr>
        <w:pStyle w:val="Heading2"/>
        <w:spacing w:after="100" w:before="220"/>
      </w:pPr>
      <w:r>
        <w:rPr>
          <w:rFonts w:ascii="Calibri" w:cs="Calibri" w:eastAsia="Calibri" w:hAnsi="Calibri"/>
          <w:b/>
          <w:bCs/>
          <w:color w:val="0066AA"/>
          <w:sz w:val="25"/>
          <w:szCs w:val="25"/>
        </w:rPr>
        <w:t xml:space="preserve">Abgrenzung zur klassischen Datenbank</w:t>
      </w:r>
    </w:p>
    <w:p>
      <w:pPr>
        <w:spacing w:after="120" w:line="276"/>
      </w:pPr>
      <w:r>
        <w:rPr>
          <w:rFonts w:ascii="Calibri" w:cs="Calibri" w:eastAsia="Calibri" w:hAnsi="Calibri"/>
          <w:color w:val="1A1A1A"/>
          <w:sz w:val="22"/>
          <w:szCs w:val="22"/>
        </w:rPr>
        <w:t xml:space="preserve">Ein Verzeichnisdienst ist kein Ersatz für eine relationale Datenbank, sondern für einen anderen Zweck optimiert. Geschäftsdaten (Bestellungen, Rechnungen) gehören in eine relationale Datenbank; Identitäten und Konfigurationsinformationen gehören in den Verzeichnisdienst.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Verzeichnisdienst</w:t>
            </w:r>
          </w:p>
        </w:tc>
        <w:tc>
          <w:tcPr>
            <w:tcW w:type="dxa" w:w="4513"/>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Relationale Datenbank</w:t>
            </w:r>
          </w:p>
        </w:tc>
      </w:tr>
      <w:tr>
        <w:tc>
          <w:tcPr>
            <w:tcW w:type="dxa" w:w="451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Baum / Hierarchie</w:t>
            </w:r>
          </w:p>
        </w:tc>
        <w:tc>
          <w:tcPr>
            <w:tcW w:type="dxa" w:w="451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Tabellen / Relationen</w:t>
            </w:r>
          </w:p>
        </w:tc>
      </w:tr>
      <w:tr>
        <w:tc>
          <w:tcPr>
            <w:tcW w:type="dxa" w:w="451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lesedominiert</w:t>
            </w:r>
          </w:p>
        </w:tc>
        <w:tc>
          <w:tcPr>
            <w:tcW w:type="dxa" w:w="451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lese- und schreibintensiv</w:t>
            </w:r>
          </w:p>
        </w:tc>
      </w:tr>
      <w:tr>
        <w:tc>
          <w:tcPr>
            <w:tcW w:type="dxa" w:w="451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Zugriff über LDAP</w:t>
            </w:r>
          </w:p>
        </w:tc>
        <w:tc>
          <w:tcPr>
            <w:tcW w:type="dxa" w:w="451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Zugriff über SQL</w:t>
            </w:r>
          </w:p>
        </w:tc>
      </w:tr>
      <w:tr>
        <w:tc>
          <w:tcPr>
            <w:tcW w:type="dxa" w:w="451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Identitäten, Konfiguration</w:t>
            </w:r>
          </w:p>
        </w:tc>
        <w:tc>
          <w:tcPr>
            <w:tcW w:type="dxa" w:w="451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Geschäftsdaten</w:t>
            </w:r>
          </w:p>
        </w:tc>
      </w:tr>
    </w:tbl>
    <w:p>
      <w:pPr>
        <w:pStyle w:val="Heading1"/>
        <w:spacing w:after="140" w:before="320"/>
      </w:pPr>
      <w:r>
        <w:rPr>
          <w:rFonts w:ascii="Calibri" w:cs="Calibri" w:eastAsia="Calibri" w:hAnsi="Calibri"/>
          <w:b/>
          <w:bCs/>
          <w:color w:val="003366"/>
          <w:sz w:val="30"/>
          <w:szCs w:val="30"/>
        </w:rPr>
        <w:t xml:space="preserve">3  LDAP &amp; X.500 — die Grundlagen</w:t>
      </w:r>
    </w:p>
    <w:p>
      <w:pPr>
        <w:spacing w:after="120" w:line="276"/>
      </w:pPr>
      <w:r>
        <w:rPr>
          <w:rFonts w:ascii="Calibri" w:cs="Calibri" w:eastAsia="Calibri" w:hAnsi="Calibri"/>
          <w:b/>
          <w:bCs/>
          <w:color w:val="1A1A1A"/>
          <w:sz w:val="22"/>
          <w:szCs w:val="22"/>
        </w:rPr>
        <w:t xml:space="preserve">LDAP</w:t>
      </w:r>
      <w:r>
        <w:rPr>
          <w:rFonts w:ascii="Calibri" w:cs="Calibri" w:eastAsia="Calibri" w:hAnsi="Calibri"/>
          <w:color w:val="1A1A1A"/>
          <w:sz w:val="22"/>
          <w:szCs w:val="22"/>
        </w:rPr>
        <w:t xml:space="preserve"> steht für </w:t>
      </w:r>
      <w:r>
        <w:rPr>
          <w:rFonts w:ascii="Calibri" w:cs="Calibri" w:eastAsia="Calibri" w:hAnsi="Calibri"/>
          <w:color w:val="1A1A1A"/>
          <w:sz w:val="22"/>
          <w:szCs w:val="22"/>
        </w:rPr>
        <w:t xml:space="preserve">Lightweight Directory Access Protocol</w:t>
      </w:r>
      <w:r>
        <w:rPr>
          <w:rFonts w:ascii="Calibri" w:cs="Calibri" w:eastAsia="Calibri" w:hAnsi="Calibri"/>
          <w:color w:val="1A1A1A"/>
          <w:sz w:val="22"/>
          <w:szCs w:val="22"/>
        </w:rPr>
        <w:t xml:space="preserve"> und ist das Standardprotokoll für den Zugriff auf Verzeichnisdienste. Es nutzt standardmäßig Port 389, in der verschlüsselten Variante (LDAP über TLS) Port 636. Das Datenmodell stammt vom älteren X.500-Standard ab.</w:t>
      </w:r>
    </w:p>
    <w:p>
      <w:pPr>
        <w:pStyle w:val="Heading2"/>
        <w:spacing w:after="100" w:before="220"/>
      </w:pPr>
      <w:r>
        <w:rPr>
          <w:rFonts w:ascii="Calibri" w:cs="Calibri" w:eastAsia="Calibri" w:hAnsi="Calibri"/>
          <w:b/>
          <w:bCs/>
          <w:color w:val="0066AA"/>
          <w:sz w:val="25"/>
          <w:szCs w:val="25"/>
        </w:rPr>
        <w:t xml:space="preserve">Zentrale Begriffe</w:t>
      </w:r>
    </w:p>
    <w:p>
      <w:pPr>
        <w:pStyle w:val="ListParagraph"/>
        <w:numPr>
          <w:ilvl w:val="0"/>
          <w:numId w:val="2"/>
        </w:numPr>
        <w:spacing w:after="70" w:line="270"/>
      </w:pPr>
      <w:r>
        <w:rPr>
          <w:rFonts w:ascii="Calibri" w:cs="Calibri" w:eastAsia="Calibri" w:hAnsi="Calibri"/>
          <w:b/>
          <w:bCs/>
          <w:color w:val="1A1A1A"/>
          <w:sz w:val="22"/>
          <w:szCs w:val="22"/>
        </w:rPr>
        <w:t xml:space="preserve">DN (Distinguished Name): </w:t>
      </w:r>
      <w:r>
        <w:rPr>
          <w:rFonts w:ascii="Calibri" w:cs="Calibri" w:eastAsia="Calibri" w:hAnsi="Calibri"/>
          <w:color w:val="1A1A1A"/>
          <w:sz w:val="22"/>
          <w:szCs w:val="22"/>
        </w:rPr>
        <w:t xml:space="preserve">der vollständige, eindeutige Pfad zu einem Objekt im Baum.</w:t>
      </w:r>
    </w:p>
    <w:p>
      <w:pPr>
        <w:pStyle w:val="ListParagraph"/>
        <w:numPr>
          <w:ilvl w:val="0"/>
          <w:numId w:val="2"/>
        </w:numPr>
        <w:spacing w:after="70" w:line="270"/>
      </w:pPr>
      <w:r>
        <w:rPr>
          <w:rFonts w:ascii="Calibri" w:cs="Calibri" w:eastAsia="Calibri" w:hAnsi="Calibri"/>
          <w:b/>
          <w:bCs/>
          <w:color w:val="1A1A1A"/>
          <w:sz w:val="22"/>
          <w:szCs w:val="22"/>
        </w:rPr>
        <w:t xml:space="preserve">RDN (Relative Distinguished Name): </w:t>
      </w:r>
      <w:r>
        <w:rPr>
          <w:rFonts w:ascii="Calibri" w:cs="Calibri" w:eastAsia="Calibri" w:hAnsi="Calibri"/>
          <w:color w:val="1A1A1A"/>
          <w:sz w:val="22"/>
          <w:szCs w:val="22"/>
        </w:rPr>
        <w:t xml:space="preserve">der Namensteil einer einzelnen Ebene, z. B. ou=Vertrieb.</w:t>
      </w:r>
    </w:p>
    <w:p>
      <w:pPr>
        <w:pStyle w:val="ListParagraph"/>
        <w:numPr>
          <w:ilvl w:val="0"/>
          <w:numId w:val="2"/>
        </w:numPr>
        <w:spacing w:after="70" w:line="270"/>
      </w:pPr>
      <w:r>
        <w:rPr>
          <w:rFonts w:ascii="Calibri" w:cs="Calibri" w:eastAsia="Calibri" w:hAnsi="Calibri"/>
          <w:b/>
          <w:bCs/>
          <w:color w:val="1A1A1A"/>
          <w:sz w:val="22"/>
          <w:szCs w:val="22"/>
        </w:rPr>
        <w:t xml:space="preserve">Attribut: </w:t>
      </w:r>
      <w:r>
        <w:rPr>
          <w:rFonts w:ascii="Calibri" w:cs="Calibri" w:eastAsia="Calibri" w:hAnsi="Calibri"/>
          <w:color w:val="1A1A1A"/>
          <w:sz w:val="22"/>
          <w:szCs w:val="22"/>
        </w:rPr>
        <w:t xml:space="preserve">eine Eigenschaft eines Objekts, z. B. cn (common name), sn (surname), mail.</w:t>
      </w:r>
    </w:p>
    <w:p>
      <w:pPr>
        <w:pStyle w:val="ListParagraph"/>
        <w:numPr>
          <w:ilvl w:val="0"/>
          <w:numId w:val="2"/>
        </w:numPr>
        <w:spacing w:after="70" w:line="270"/>
      </w:pPr>
      <w:r>
        <w:rPr>
          <w:rFonts w:ascii="Calibri" w:cs="Calibri" w:eastAsia="Calibri" w:hAnsi="Calibri"/>
          <w:b/>
          <w:bCs/>
          <w:color w:val="1A1A1A"/>
          <w:sz w:val="22"/>
          <w:szCs w:val="22"/>
        </w:rPr>
        <w:t xml:space="preserve">Objektklasse: </w:t>
      </w:r>
      <w:r>
        <w:rPr>
          <w:rFonts w:ascii="Calibri" w:cs="Calibri" w:eastAsia="Calibri" w:hAnsi="Calibri"/>
          <w:color w:val="1A1A1A"/>
          <w:sz w:val="22"/>
          <w:szCs w:val="22"/>
        </w:rPr>
        <w:t xml:space="preserve">der Bauplan eines Objekts — legt fest, welche Attribute pflicht und welche erlaubt sind.</w:t>
      </w:r>
    </w:p>
    <w:p>
      <w:pPr>
        <w:pStyle w:val="ListParagraph"/>
        <w:numPr>
          <w:ilvl w:val="0"/>
          <w:numId w:val="2"/>
        </w:numPr>
        <w:spacing w:after="70" w:line="270"/>
      </w:pPr>
      <w:r>
        <w:rPr>
          <w:rFonts w:ascii="Calibri" w:cs="Calibri" w:eastAsia="Calibri" w:hAnsi="Calibri"/>
          <w:b/>
          <w:bCs/>
          <w:color w:val="1A1A1A"/>
          <w:sz w:val="22"/>
          <w:szCs w:val="22"/>
        </w:rPr>
        <w:t xml:space="preserve">Schema: </w:t>
      </w:r>
      <w:r>
        <w:rPr>
          <w:rFonts w:ascii="Calibri" w:cs="Calibri" w:eastAsia="Calibri" w:hAnsi="Calibri"/>
          <w:color w:val="1A1A1A"/>
          <w:sz w:val="22"/>
          <w:szCs w:val="22"/>
        </w:rPr>
        <w:t xml:space="preserve">die Gesamtheit aller definierten Objektklassen und Attribute eines Verzeichnisses.</w:t>
      </w:r>
    </w:p>
    <w:p>
      <w:pPr>
        <w:pStyle w:val="Heading2"/>
        <w:spacing w:after="100" w:before="220"/>
      </w:pPr>
      <w:r>
        <w:rPr>
          <w:rFonts w:ascii="Calibri" w:cs="Calibri" w:eastAsia="Calibri" w:hAnsi="Calibri"/>
          <w:b/>
          <w:bCs/>
          <w:color w:val="0066AA"/>
          <w:sz w:val="25"/>
          <w:szCs w:val="25"/>
        </w:rPr>
        <w:t xml:space="preserve">Beispiel eines DN</w:t>
      </w:r>
    </w:p>
    <w:p>
      <w:pPr>
        <w:spacing w:after="120" w:line="276"/>
      </w:pPr>
      <w:r>
        <w:rPr>
          <w:rFonts w:ascii="Calibri" w:cs="Calibri" w:eastAsia="Calibri" w:hAnsi="Calibri"/>
          <w:color w:val="1A1A1A"/>
          <w:sz w:val="22"/>
          <w:szCs w:val="22"/>
        </w:rPr>
        <w:t xml:space="preserve">Ein DN liest sich von links (spezifisch) nach rechts (allgemein). Das folgende Beispiel beschreibt den Benutzer „Max Mustermann“ in der Organisationseinheit „Vertrieb“ der Domäne firma.de: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cn=Max Mustermann,ou=Vertrieb,dc=firma,dc=de</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 dc = domain component   ou = organizational unit   cn = common name</w:t>
            </w:r>
          </w:p>
        </w:tc>
      </w:tr>
    </w:tbl>
    <w:p>
      <w:pPr>
        <w:pStyle w:val="Heading1"/>
        <w:spacing w:after="140" w:before="320"/>
      </w:pPr>
      <w:r>
        <w:rPr>
          <w:rFonts w:ascii="Calibri" w:cs="Calibri" w:eastAsia="Calibri" w:hAnsi="Calibri"/>
          <w:b/>
          <w:bCs/>
          <w:color w:val="003366"/>
          <w:sz w:val="30"/>
          <w:szCs w:val="30"/>
        </w:rPr>
        <w:t xml:space="preserve">4  Active Directory: Überblick</w:t>
      </w:r>
    </w:p>
    <w:p>
      <w:pPr>
        <w:spacing w:after="120" w:line="276"/>
      </w:pPr>
      <w:r>
        <w:rPr>
          <w:rFonts w:ascii="Calibri" w:cs="Calibri" w:eastAsia="Calibri" w:hAnsi="Calibri"/>
          <w:b/>
          <w:bCs/>
          <w:color w:val="1A1A1A"/>
          <w:sz w:val="22"/>
          <w:szCs w:val="22"/>
        </w:rPr>
        <w:t xml:space="preserve">Active Directory Domain Services (AD DS)</w:t>
      </w:r>
      <w:r>
        <w:rPr>
          <w:rFonts w:ascii="Calibri" w:cs="Calibri" w:eastAsia="Calibri" w:hAnsi="Calibri"/>
          <w:color w:val="1A1A1A"/>
          <w:sz w:val="22"/>
          <w:szCs w:val="22"/>
        </w:rPr>
        <w:t xml:space="preserve"> ist Microsofts Verzeichnisdienst für Windows-Server-Umgebungen. Er spricht LDAP, bringt aber eine eigene Struktur sowie zahlreiche Zusatzdienste mit: Authentifizierung über Kerberos und NTLM, zentrale Richtlinien über Gruppenrichtlinien (GPO) und eine enge DNS-Integration für die Dienstsuche.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EEF5FB"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Kernbegriff: Domäne (Domain)</w:t>
            </w:r>
          </w:p>
          <w:p>
            <w:pPr>
              <w:spacing w:after="40" w:line="264"/>
            </w:pPr>
            <w:r>
              <w:rPr>
                <w:rFonts w:ascii="Calibri" w:cs="Calibri" w:eastAsia="Calibri" w:hAnsi="Calibri"/>
                <w:color w:val="1A1A1A"/>
                <w:sz w:val="21"/>
                <w:szCs w:val="21"/>
              </w:rPr>
              <w:t xml:space="preserve">Eine Domäne ist eine administrative Sicherheitsgrenze. Innerhalb einer Domäne gelten gemeinsame Benutzer-, Gruppen- und Rechteverwaltung sowie einheitliche Richtlinien. Beispiel: firma.de</w:t>
            </w:r>
          </w:p>
        </w:tc>
      </w:tr>
    </w:tbl>
    <w:p>
      <w:pPr>
        <w:pStyle w:val="Heading1"/>
        <w:spacing w:after="140" w:before="320"/>
      </w:pPr>
      <w:r>
        <w:rPr>
          <w:rFonts w:ascii="Calibri" w:cs="Calibri" w:eastAsia="Calibri" w:hAnsi="Calibri"/>
          <w:b/>
          <w:bCs/>
          <w:color w:val="003366"/>
          <w:sz w:val="30"/>
          <w:szCs w:val="30"/>
        </w:rPr>
        <w:t xml:space="preserve">5  AD-Struktur: Forest, Tree, Domain, OU</w:t>
      </w:r>
    </w:p>
    <w:p>
      <w:pPr>
        <w:spacing w:after="120" w:line="276"/>
      </w:pPr>
      <w:r>
        <w:rPr>
          <w:rFonts w:ascii="Calibri" w:cs="Calibri" w:eastAsia="Calibri" w:hAnsi="Calibri"/>
          <w:color w:val="1A1A1A"/>
          <w:sz w:val="22"/>
          <w:szCs w:val="22"/>
        </w:rPr>
        <w:t xml:space="preserve">Active Directory ist streng hierarchisch aufgebaut. Von außen nach innen:</w:t>
      </w:r>
    </w:p>
    <w:p>
      <w:pPr>
        <w:pStyle w:val="ListParagraph"/>
        <w:numPr>
          <w:ilvl w:val="0"/>
          <w:numId w:val="2"/>
        </w:numPr>
        <w:spacing w:after="70" w:line="270"/>
      </w:pPr>
      <w:r>
        <w:rPr>
          <w:rFonts w:ascii="Calibri" w:cs="Calibri" w:eastAsia="Calibri" w:hAnsi="Calibri"/>
          <w:b/>
          <w:bCs/>
          <w:color w:val="1A1A1A"/>
          <w:sz w:val="22"/>
          <w:szCs w:val="22"/>
        </w:rPr>
        <w:t xml:space="preserve">Forest (Gesamtstruktur): </w:t>
      </w:r>
      <w:r>
        <w:rPr>
          <w:rFonts w:ascii="Calibri" w:cs="Calibri" w:eastAsia="Calibri" w:hAnsi="Calibri"/>
          <w:color w:val="1A1A1A"/>
          <w:sz w:val="22"/>
          <w:szCs w:val="22"/>
        </w:rPr>
        <w:t xml:space="preserve">die oberste Sicherheits- und Vertrauensgrenze; umschließt eine oder mehrere Domänen.</w:t>
      </w:r>
    </w:p>
    <w:p>
      <w:pPr>
        <w:pStyle w:val="ListParagraph"/>
        <w:numPr>
          <w:ilvl w:val="0"/>
          <w:numId w:val="2"/>
        </w:numPr>
        <w:spacing w:after="70" w:line="270"/>
      </w:pPr>
      <w:r>
        <w:rPr>
          <w:rFonts w:ascii="Calibri" w:cs="Calibri" w:eastAsia="Calibri" w:hAnsi="Calibri"/>
          <w:b/>
          <w:bCs/>
          <w:color w:val="1A1A1A"/>
          <w:sz w:val="22"/>
          <w:szCs w:val="22"/>
        </w:rPr>
        <w:t xml:space="preserve">Tree (Domänenbaum): </w:t>
      </w:r>
      <w:r>
        <w:rPr>
          <w:rFonts w:ascii="Calibri" w:cs="Calibri" w:eastAsia="Calibri" w:hAnsi="Calibri"/>
          <w:color w:val="1A1A1A"/>
          <w:sz w:val="22"/>
          <w:szCs w:val="22"/>
        </w:rPr>
        <w:t xml:space="preserve">Domänen mit gemeinsamem, zusammenhängendem Namensraum.</w:t>
      </w:r>
    </w:p>
    <w:p>
      <w:pPr>
        <w:pStyle w:val="ListParagraph"/>
        <w:numPr>
          <w:ilvl w:val="0"/>
          <w:numId w:val="2"/>
        </w:numPr>
        <w:spacing w:after="70" w:line="270"/>
      </w:pPr>
      <w:r>
        <w:rPr>
          <w:rFonts w:ascii="Calibri" w:cs="Calibri" w:eastAsia="Calibri" w:hAnsi="Calibri"/>
          <w:b/>
          <w:bCs/>
          <w:color w:val="1A1A1A"/>
          <w:sz w:val="22"/>
          <w:szCs w:val="22"/>
        </w:rPr>
        <w:t xml:space="preserve">Domain (Domäne): </w:t>
      </w:r>
      <w:r>
        <w:rPr>
          <w:rFonts w:ascii="Calibri" w:cs="Calibri" w:eastAsia="Calibri" w:hAnsi="Calibri"/>
          <w:color w:val="1A1A1A"/>
          <w:sz w:val="22"/>
          <w:szCs w:val="22"/>
        </w:rPr>
        <w:t xml:space="preserve">die administrative Einheit mit eigenen Konten und Richtlinien.</w:t>
      </w:r>
    </w:p>
    <w:p>
      <w:pPr>
        <w:pStyle w:val="ListParagraph"/>
        <w:numPr>
          <w:ilvl w:val="0"/>
          <w:numId w:val="2"/>
        </w:numPr>
        <w:spacing w:after="70" w:line="270"/>
      </w:pPr>
      <w:r>
        <w:rPr>
          <w:rFonts w:ascii="Calibri" w:cs="Calibri" w:eastAsia="Calibri" w:hAnsi="Calibri"/>
          <w:b/>
          <w:bCs/>
          <w:color w:val="1A1A1A"/>
          <w:sz w:val="22"/>
          <w:szCs w:val="22"/>
        </w:rPr>
        <w:t xml:space="preserve">OU (Organisationseinheit): </w:t>
      </w:r>
      <w:r>
        <w:rPr>
          <w:rFonts w:ascii="Calibri" w:cs="Calibri" w:eastAsia="Calibri" w:hAnsi="Calibri"/>
          <w:color w:val="1A1A1A"/>
          <w:sz w:val="22"/>
          <w:szCs w:val="22"/>
        </w:rPr>
        <w:t xml:space="preserve">ein Container innerhalb der Domäne, um Objekte zu ordnen und Richtlinien gezielt anzuwenden — z. B. je Abteilung.</w:t>
      </w:r>
    </w:p>
    <w:p>
      <w:pPr>
        <w:spacing w:after="120" w:line="276"/>
      </w:pPr>
      <w:r>
        <w:rPr>
          <w:rFonts w:ascii="Calibri" w:cs="Calibri" w:eastAsia="Calibri" w:hAnsi="Calibri"/>
          <w:color w:val="1A1A1A"/>
          <w:sz w:val="22"/>
          <w:szCs w:val="22"/>
        </w:rPr>
        <w:t xml:space="preserve">OUs sind das wichtigste Werkzeug zur Strukturierung: Sie bilden die Aufbauorganisation des Unternehmens ab und ermöglichen es, Gruppenrichtlinien punktgenau auf eine Abteilung wirken zu lassen.</w:t>
      </w:r>
    </w:p>
    <w:p>
      <w:pPr>
        <w:pStyle w:val="Heading1"/>
        <w:spacing w:after="140" w:before="320"/>
      </w:pPr>
      <w:r>
        <w:rPr>
          <w:rFonts w:ascii="Calibri" w:cs="Calibri" w:eastAsia="Calibri" w:hAnsi="Calibri"/>
          <w:b/>
          <w:bCs/>
          <w:color w:val="003366"/>
          <w:sz w:val="30"/>
          <w:szCs w:val="30"/>
        </w:rPr>
        <w:t xml:space="preserve">6  Domänencontroller, DNS &amp; Authentifizierung</w:t>
      </w:r>
    </w:p>
    <w:p>
      <w:pPr>
        <w:pStyle w:val="Heading2"/>
        <w:spacing w:after="100" w:before="220"/>
      </w:pPr>
      <w:r>
        <w:rPr>
          <w:rFonts w:ascii="Calibri" w:cs="Calibri" w:eastAsia="Calibri" w:hAnsi="Calibri"/>
          <w:b/>
          <w:bCs/>
          <w:color w:val="0066AA"/>
          <w:sz w:val="25"/>
          <w:szCs w:val="25"/>
        </w:rPr>
        <w:t xml:space="preserve">Domänencontroller (DC)</w:t>
      </w:r>
    </w:p>
    <w:p>
      <w:pPr>
        <w:spacing w:after="120" w:line="276"/>
      </w:pPr>
      <w:r>
        <w:rPr>
          <w:rFonts w:ascii="Calibri" w:cs="Calibri" w:eastAsia="Calibri" w:hAnsi="Calibri"/>
          <w:color w:val="1A1A1A"/>
          <w:sz w:val="22"/>
          <w:szCs w:val="22"/>
        </w:rPr>
        <w:t xml:space="preserve">Der Domänencontroller ist der Server, der die AD-Datenbank vorhält und Anmelde- sowie LDAP-Anfragen beantwortet. In der Praxis betreibt man stets mehrere Domänencontroller, die sich gegenseitig replizieren (Multi-Master-Replikation). Fällt ein DC aus, übernehmen die anderen — das sorgt für Ausfallsicherheit.</w:t>
      </w:r>
    </w:p>
    <w:p>
      <w:pPr>
        <w:pStyle w:val="Heading2"/>
        <w:spacing w:after="100" w:before="220"/>
      </w:pPr>
      <w:r>
        <w:rPr>
          <w:rFonts w:ascii="Calibri" w:cs="Calibri" w:eastAsia="Calibri" w:hAnsi="Calibri"/>
          <w:b/>
          <w:bCs/>
          <w:color w:val="0066AA"/>
          <w:sz w:val="25"/>
          <w:szCs w:val="25"/>
        </w:rPr>
        <w:t xml:space="preserve">DNS als Fundament</w:t>
      </w:r>
    </w:p>
    <w:p>
      <w:pPr>
        <w:spacing w:after="120" w:line="276"/>
      </w:pPr>
      <w:r>
        <w:rPr>
          <w:rFonts w:ascii="Calibri" w:cs="Calibri" w:eastAsia="Calibri" w:hAnsi="Calibri"/>
          <w:color w:val="1A1A1A"/>
          <w:sz w:val="22"/>
          <w:szCs w:val="22"/>
        </w:rPr>
        <w:t xml:space="preserve">Ohne funktionierendes DNS gibt es kein Active Directory. Clients finden die Domänencontroller über spezielle DNS-Einträge, die sogenannten SRV-Records. DNS wird deshalb in aller Regel direkt auf dem Domänencontroller mitinstalliert.</w:t>
      </w:r>
    </w:p>
    <w:p>
      <w:pPr>
        <w:pStyle w:val="Heading2"/>
        <w:spacing w:after="100" w:before="220"/>
      </w:pPr>
      <w:r>
        <w:rPr>
          <w:rFonts w:ascii="Calibri" w:cs="Calibri" w:eastAsia="Calibri" w:hAnsi="Calibri"/>
          <w:b/>
          <w:bCs/>
          <w:color w:val="0066AA"/>
          <w:sz w:val="25"/>
          <w:szCs w:val="25"/>
        </w:rPr>
        <w:t xml:space="preserve">Authentifizierung: Kerberos und NTLM</w:t>
      </w:r>
    </w:p>
    <w:p>
      <w:pPr>
        <w:spacing w:after="120" w:line="276"/>
      </w:pPr>
      <w:r>
        <w:rPr>
          <w:rFonts w:ascii="Calibri" w:cs="Calibri" w:eastAsia="Calibri" w:hAnsi="Calibri"/>
          <w:color w:val="1A1A1A"/>
          <w:sz w:val="22"/>
          <w:szCs w:val="22"/>
        </w:rPr>
        <w:t xml:space="preserve">Die Standard-Authentifizierung in AD erfolgt über Kerberos. Kerberos ist ticketbasiert: Statt das Passwort über das Netz zu senden, erhält der Anmelder ein zeitlich begrenztes Ticket. Das ältere NTLM-Verfahren dient nur noch als Rückfalloption. Beide ermöglichen Single Sign-On für die Domänendienste.</w:t>
      </w:r>
    </w:p>
    <w:p>
      <w:pPr>
        <w:pStyle w:val="Heading1"/>
        <w:spacing w:after="140" w:before="320"/>
      </w:pPr>
      <w:r>
        <w:rPr>
          <w:rFonts w:ascii="Calibri" w:cs="Calibri" w:eastAsia="Calibri" w:hAnsi="Calibri"/>
          <w:b/>
          <w:bCs/>
          <w:color w:val="003366"/>
          <w:sz w:val="30"/>
          <w:szCs w:val="30"/>
        </w:rPr>
        <w:t xml:space="preserve">7  Gruppenrichtlinien (GPO)</w:t>
      </w:r>
    </w:p>
    <w:p>
      <w:pPr>
        <w:spacing w:after="120" w:line="276"/>
      </w:pPr>
      <w:r>
        <w:rPr>
          <w:rFonts w:ascii="Calibri" w:cs="Calibri" w:eastAsia="Calibri" w:hAnsi="Calibri"/>
          <w:color w:val="1A1A1A"/>
          <w:sz w:val="22"/>
          <w:szCs w:val="22"/>
        </w:rPr>
        <w:t xml:space="preserve">Ein </w:t>
      </w:r>
      <w:r>
        <w:rPr>
          <w:rFonts w:ascii="Calibri" w:cs="Calibri" w:eastAsia="Calibri" w:hAnsi="Calibri"/>
          <w:b/>
          <w:bCs/>
          <w:color w:val="1A1A1A"/>
          <w:sz w:val="22"/>
          <w:szCs w:val="22"/>
        </w:rPr>
        <w:t xml:space="preserve">GPO (Group Policy Object)</w:t>
      </w:r>
      <w:r>
        <w:rPr>
          <w:rFonts w:ascii="Calibri" w:cs="Calibri" w:eastAsia="Calibri" w:hAnsi="Calibri"/>
          <w:color w:val="1A1A1A"/>
          <w:sz w:val="22"/>
          <w:szCs w:val="22"/>
        </w:rPr>
        <w:t xml:space="preserve"> ist ein zentrales Regelwerk für Benutzer und Computer. Typische Beispiele sind Mindest-Passwortlänge, ein einheitlicher Desktop-Hintergrund, das Sperren von USB-Anschlüssen oder das Verteilen von Software.</w:t>
      </w:r>
    </w:p>
    <w:p>
      <w:pPr>
        <w:spacing w:after="120" w:line="276"/>
      </w:pPr>
      <w:r>
        <w:rPr>
          <w:rFonts w:ascii="Calibri" w:cs="Calibri" w:eastAsia="Calibri" w:hAnsi="Calibri"/>
          <w:color w:val="1A1A1A"/>
          <w:sz w:val="22"/>
          <w:szCs w:val="22"/>
        </w:rPr>
        <w:t xml:space="preserve">GPOs werden mit AD-Containern verknüpft und wirken nach unten. Die Reihenfolge der Anwendung folgt dem Kürzel LSDOU:</w:t>
      </w:r>
    </w:p>
    <w:p>
      <w:pPr>
        <w:pStyle w:val="ListParagraph"/>
        <w:numPr>
          <w:ilvl w:val="0"/>
          <w:numId w:val="2"/>
        </w:numPr>
        <w:spacing w:after="70" w:line="270"/>
      </w:pPr>
      <w:r>
        <w:rPr>
          <w:rFonts w:ascii="Calibri" w:cs="Calibri" w:eastAsia="Calibri" w:hAnsi="Calibri"/>
          <w:color w:val="1A1A1A"/>
          <w:sz w:val="22"/>
          <w:szCs w:val="22"/>
        </w:rPr>
        <w:t xml:space="preserve">Local — lokale Richtlinie des einzelnen Rechners</w:t>
      </w:r>
    </w:p>
    <w:p>
      <w:pPr>
        <w:pStyle w:val="ListParagraph"/>
        <w:numPr>
          <w:ilvl w:val="0"/>
          <w:numId w:val="2"/>
        </w:numPr>
        <w:spacing w:after="70" w:line="270"/>
      </w:pPr>
      <w:r>
        <w:rPr>
          <w:rFonts w:ascii="Calibri" w:cs="Calibri" w:eastAsia="Calibri" w:hAnsi="Calibri"/>
          <w:color w:val="1A1A1A"/>
          <w:sz w:val="22"/>
          <w:szCs w:val="22"/>
        </w:rPr>
        <w:t xml:space="preserve">Site — Standort (z. B. ein Bürostandort)</w:t>
      </w:r>
    </w:p>
    <w:p>
      <w:pPr>
        <w:pStyle w:val="ListParagraph"/>
        <w:numPr>
          <w:ilvl w:val="0"/>
          <w:numId w:val="2"/>
        </w:numPr>
        <w:spacing w:after="70" w:line="270"/>
      </w:pPr>
      <w:r>
        <w:rPr>
          <w:rFonts w:ascii="Calibri" w:cs="Calibri" w:eastAsia="Calibri" w:hAnsi="Calibri"/>
          <w:color w:val="1A1A1A"/>
          <w:sz w:val="22"/>
          <w:szCs w:val="22"/>
        </w:rPr>
        <w:t xml:space="preserve">Domain — die Domäne insgesamt</w:t>
      </w:r>
    </w:p>
    <w:p>
      <w:pPr>
        <w:pStyle w:val="ListParagraph"/>
        <w:numPr>
          <w:ilvl w:val="0"/>
          <w:numId w:val="2"/>
        </w:numPr>
        <w:spacing w:after="70" w:line="270"/>
      </w:pPr>
      <w:r>
        <w:rPr>
          <w:rFonts w:ascii="Calibri" w:cs="Calibri" w:eastAsia="Calibri" w:hAnsi="Calibri"/>
          <w:color w:val="1A1A1A"/>
          <w:sz w:val="22"/>
          <w:szCs w:val="22"/>
        </w:rPr>
        <w:t xml:space="preserve">OU — die Organisationseinheit</w:t>
      </w:r>
    </w:p>
    <w:p>
      <w:pPr>
        <w:spacing w:after="120" w:line="276"/>
      </w:pPr>
      <w:r>
        <w:rPr>
          <w:rFonts w:ascii="Calibri" w:cs="Calibri" w:eastAsia="Calibri" w:hAnsi="Calibri"/>
          <w:color w:val="1A1A1A"/>
          <w:sz w:val="22"/>
          <w:szCs w:val="22"/>
        </w:rPr>
        <w:t xml:space="preserve">Bei Konflikten gilt: Die spätere Stufe gewinnt. Eine Richtlinie auf OU-Ebene überschreibt also im Konflikt eine widersprechende Domänenrichtlinie. Der große Nutzen: Eine Regel wird einmal definiert und gilt anschließend für hunderte Geräte — neue Geräte erhalten ihre Konfiguration automatisch.</w:t>
      </w:r>
    </w:p>
    <w:p>
      <w:pPr>
        <w:pStyle w:val="Heading1"/>
        <w:spacing w:after="140" w:before="320"/>
      </w:pPr>
      <w:r>
        <w:rPr>
          <w:rFonts w:ascii="Calibri" w:cs="Calibri" w:eastAsia="Calibri" w:hAnsi="Calibri"/>
          <w:b/>
          <w:bCs/>
          <w:color w:val="003366"/>
          <w:sz w:val="30"/>
          <w:szCs w:val="30"/>
        </w:rPr>
        <w:t xml:space="preserve">8  openLDAP — das Linux-Pendant</w:t>
      </w:r>
    </w:p>
    <w:p>
      <w:pPr>
        <w:spacing w:after="120" w:line="276"/>
      </w:pPr>
      <w:r>
        <w:rPr>
          <w:rFonts w:ascii="Calibri" w:cs="Calibri" w:eastAsia="Calibri" w:hAnsi="Calibri"/>
          <w:b/>
          <w:bCs/>
          <w:color w:val="1A1A1A"/>
          <w:sz w:val="22"/>
          <w:szCs w:val="22"/>
        </w:rPr>
        <w:t xml:space="preserve">openLDAP</w:t>
      </w:r>
      <w:r>
        <w:rPr>
          <w:rFonts w:ascii="Calibri" w:cs="Calibri" w:eastAsia="Calibri" w:hAnsi="Calibri"/>
          <w:color w:val="1A1A1A"/>
          <w:sz w:val="22"/>
          <w:szCs w:val="22"/>
        </w:rPr>
        <w:t xml:space="preserve"> ist eine freie, quelloffene Implementierung eines LDAP-Servers für Linux/Unix. Der Server-Dienst heißt </w:t>
      </w:r>
      <w:r>
        <w:rPr>
          <w:rFonts w:ascii="Consolas" w:cs="Consolas" w:eastAsia="Consolas" w:hAnsi="Consolas"/>
          <w:color w:val="1A1A1A"/>
          <w:sz w:val="21"/>
          <w:szCs w:val="21"/>
        </w:rPr>
        <w:t xml:space="preserve">slapd</w:t>
      </w:r>
      <w:r>
        <w:rPr>
          <w:rFonts w:ascii="Calibri" w:cs="Calibri" w:eastAsia="Calibri" w:hAnsi="Calibri"/>
          <w:color w:val="1A1A1A"/>
          <w:sz w:val="22"/>
          <w:szCs w:val="22"/>
        </w:rPr>
        <w:t xml:space="preserve"> (Standalone LDAP Daemon). Die Hierarchie wird als </w:t>
      </w:r>
      <w:r>
        <w:rPr>
          <w:rFonts w:ascii="Calibri" w:cs="Calibri" w:eastAsia="Calibri" w:hAnsi="Calibri"/>
          <w:b/>
          <w:bCs/>
          <w:color w:val="1A1A1A"/>
          <w:sz w:val="22"/>
          <w:szCs w:val="22"/>
        </w:rPr>
        <w:t xml:space="preserve">DIT (Directory Information Tree)</w:t>
      </w:r>
      <w:r>
        <w:rPr>
          <w:rFonts w:ascii="Calibri" w:cs="Calibri" w:eastAsia="Calibri" w:hAnsi="Calibri"/>
          <w:color w:val="1A1A1A"/>
          <w:sz w:val="22"/>
          <w:szCs w:val="22"/>
        </w:rPr>
        <w:t xml:space="preserve"> gespeichert.</w:t>
      </w:r>
    </w:p>
    <w:p>
      <w:pPr>
        <w:spacing w:after="120" w:line="276"/>
      </w:pPr>
      <w:r>
        <w:rPr>
          <w:rFonts w:ascii="Calibri" w:cs="Calibri" w:eastAsia="Calibri" w:hAnsi="Calibri"/>
          <w:color w:val="1A1A1A"/>
          <w:sz w:val="22"/>
          <w:szCs w:val="22"/>
        </w:rPr>
        <w:t xml:space="preserve">Anders als Active Directory ist openLDAP ein reines Verzeichnis: Kerberos, GPO oder eine DNS-Integration sind nicht eingebaut, sondern müssten über zusätzliche Komponenten ergänzt werden. Die Pflege erfolgt über die Kommandozeile oder über LDIF-Dateien.</w:t>
      </w:r>
    </w:p>
    <w:p>
      <w:pPr>
        <w:pStyle w:val="Heading2"/>
        <w:spacing w:after="100" w:before="220"/>
      </w:pPr>
      <w:r>
        <w:rPr>
          <w:rFonts w:ascii="Calibri" w:cs="Calibri" w:eastAsia="Calibri" w:hAnsi="Calibri"/>
          <w:b/>
          <w:bCs/>
          <w:color w:val="0066AA"/>
          <w:sz w:val="25"/>
          <w:szCs w:val="25"/>
        </w:rPr>
        <w:t xml:space="preserve">LDIF — Im- und Export von Einträgen</w:t>
      </w:r>
    </w:p>
    <w:p>
      <w:pPr>
        <w:spacing w:after="120" w:line="276"/>
      </w:pPr>
      <w:r>
        <w:rPr>
          <w:rFonts w:ascii="Calibri" w:cs="Calibri" w:eastAsia="Calibri" w:hAnsi="Calibri"/>
          <w:color w:val="1A1A1A"/>
          <w:sz w:val="22"/>
          <w:szCs w:val="22"/>
        </w:rPr>
        <w:t xml:space="preserve">LDIF (LDAP Data Interchange Format) ist ein einfaches Textformat, mit dem sich Verzeichnis-Einträge anlegen, ändern und exportieren lassen: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benutzer.ldif</w:t>
            </w:r>
          </w:p>
          <w:p>
            <w:pPr>
              <w:spacing w:after="0" w:line="250"/>
            </w:pPr>
            <w:r>
              <w:rPr>
                <w:rFonts w:ascii="Consolas" w:cs="Consolas" w:eastAsia="Consolas" w:hAnsi="Consolas"/>
                <w:color w:val="D6E4F0"/>
                <w:sz w:val="19"/>
                <w:szCs w:val="19"/>
              </w:rPr>
              <w:t xml:space="preserve">dn: cn=Max Mustermann,ou=Vertrieb,dc=firma,dc=de</w:t>
            </w:r>
          </w:p>
          <w:p>
            <w:pPr>
              <w:spacing w:after="0" w:line="250"/>
            </w:pPr>
            <w:r>
              <w:rPr>
                <w:rFonts w:ascii="Consolas" w:cs="Consolas" w:eastAsia="Consolas" w:hAnsi="Consolas"/>
                <w:color w:val="D6E4F0"/>
                <w:sz w:val="19"/>
                <w:szCs w:val="19"/>
              </w:rPr>
              <w:t xml:space="preserve">objectClass: inetOrgPerson</w:t>
            </w:r>
          </w:p>
          <w:p>
            <w:pPr>
              <w:spacing w:after="0" w:line="250"/>
            </w:pPr>
            <w:r>
              <w:rPr>
                <w:rFonts w:ascii="Consolas" w:cs="Consolas" w:eastAsia="Consolas" w:hAnsi="Consolas"/>
                <w:color w:val="D6E4F0"/>
                <w:sz w:val="19"/>
                <w:szCs w:val="19"/>
              </w:rPr>
              <w:t xml:space="preserve">cn: Max Mustermann</w:t>
            </w:r>
          </w:p>
          <w:p>
            <w:pPr>
              <w:spacing w:after="0" w:line="250"/>
            </w:pPr>
            <w:r>
              <w:rPr>
                <w:rFonts w:ascii="Consolas" w:cs="Consolas" w:eastAsia="Consolas" w:hAnsi="Consolas"/>
                <w:color w:val="D6E4F0"/>
                <w:sz w:val="19"/>
                <w:szCs w:val="19"/>
              </w:rPr>
              <w:t xml:space="preserve">sn: Mustermann</w:t>
            </w:r>
          </w:p>
          <w:p>
            <w:pPr>
              <w:spacing w:after="0" w:line="250"/>
            </w:pPr>
            <w:r>
              <w:rPr>
                <w:rFonts w:ascii="Consolas" w:cs="Consolas" w:eastAsia="Consolas" w:hAnsi="Consolas"/>
                <w:color w:val="D6E4F0"/>
                <w:sz w:val="19"/>
                <w:szCs w:val="19"/>
              </w:rPr>
              <w:t xml:space="preserve">mail: max@firma.de</w:t>
            </w:r>
          </w:p>
        </w:tc>
      </w:tr>
    </w:tbl>
    <w:p>
      <w:pPr>
        <w:spacing w:after="120" w:line="276"/>
      </w:pPr>
      <w:r>
        <w:rPr>
          <w:rFonts w:ascii="Calibri" w:cs="Calibri" w:eastAsia="Calibri" w:hAnsi="Calibri"/>
          <w:color w:val="1A1A1A"/>
          <w:sz w:val="22"/>
          <w:szCs w:val="22"/>
        </w:rPr>
        <w:t xml:space="preserve">Typische Kommandos zum Suchen und Anlegen: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Eintrag suchen</w:t>
            </w:r>
          </w:p>
          <w:p>
            <w:pPr>
              <w:spacing w:after="0" w:line="250"/>
            </w:pPr>
            <w:r>
              <w:rPr>
                <w:rFonts w:ascii="Consolas" w:cs="Consolas" w:eastAsia="Consolas" w:hAnsi="Consolas"/>
                <w:color w:val="D6E4F0"/>
                <w:sz w:val="19"/>
                <w:szCs w:val="19"/>
              </w:rPr>
              <w:t xml:space="preserve">ldapsearch -x -b "dc=firma,dc=de" "(cn=Max*)"</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 Eintrag aus Datei anlegen</w:t>
            </w:r>
          </w:p>
          <w:p>
            <w:pPr>
              <w:spacing w:after="0" w:line="250"/>
            </w:pPr>
            <w:r>
              <w:rPr>
                <w:rFonts w:ascii="Consolas" w:cs="Consolas" w:eastAsia="Consolas" w:hAnsi="Consolas"/>
                <w:color w:val="D6E4F0"/>
                <w:sz w:val="19"/>
                <w:szCs w:val="19"/>
              </w:rPr>
              <w:t xml:space="preserve">ldapadd -x -D cn=admin,dc=firma,dc=de -W -f benutzer.ldif</w:t>
            </w:r>
          </w:p>
        </w:tc>
      </w:tr>
    </w:tbl>
    <w:p>
      <w:pPr>
        <w:pStyle w:val="Heading1"/>
        <w:spacing w:after="140" w:before="320"/>
      </w:pPr>
      <w:r>
        <w:rPr>
          <w:rFonts w:ascii="Calibri" w:cs="Calibri" w:eastAsia="Calibri" w:hAnsi="Calibri"/>
          <w:b/>
          <w:bCs/>
          <w:color w:val="003366"/>
          <w:sz w:val="30"/>
          <w:szCs w:val="30"/>
        </w:rPr>
        <w:t xml:space="preserve">9  AD vs. openLDAP im Vergleich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6"/>
        <w:gridCol w:w="3460"/>
        <w:gridCol w:w="3460"/>
      </w:tblGrid>
      <w:tr>
        <w:trPr>
          <w:tblHeader/>
        </w:trPr>
        <w:tc>
          <w:tcPr>
            <w:tcW w:type="dxa" w:w="210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Kriterium</w:t>
            </w:r>
          </w:p>
        </w:tc>
        <w:tc>
          <w:tcPr>
            <w:tcW w:type="dxa" w:w="346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Active Directory</w:t>
            </w:r>
          </w:p>
        </w:tc>
        <w:tc>
          <w:tcPr>
            <w:tcW w:type="dxa" w:w="346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openLDAP</w:t>
            </w:r>
          </w:p>
        </w:tc>
      </w:tr>
      <w:tr>
        <w:tc>
          <w:tcPr>
            <w:tcW w:type="dxa" w:w="210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Hersteller</w:t>
            </w:r>
          </w:p>
        </w:tc>
        <w:tc>
          <w:tcPr>
            <w:tcW w:type="dxa" w:w="346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Microsoft (kommerziell)</w:t>
            </w:r>
          </w:p>
        </w:tc>
        <w:tc>
          <w:tcPr>
            <w:tcW w:type="dxa" w:w="346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Open Source (frei)</w:t>
            </w:r>
          </w:p>
        </w:tc>
      </w:tr>
      <w:tr>
        <w:tc>
          <w:tcPr>
            <w:tcW w:type="dxa" w:w="210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Plattform</w:t>
            </w:r>
          </w:p>
        </w:tc>
        <w:tc>
          <w:tcPr>
            <w:tcW w:type="dxa" w:w="346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Windows Server</w:t>
            </w:r>
          </w:p>
        </w:tc>
        <w:tc>
          <w:tcPr>
            <w:tcW w:type="dxa" w:w="346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Linux / Unix</w:t>
            </w:r>
          </w:p>
        </w:tc>
      </w:tr>
      <w:tr>
        <w:tc>
          <w:tcPr>
            <w:tcW w:type="dxa" w:w="210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Protokoll</w:t>
            </w:r>
          </w:p>
        </w:tc>
        <w:tc>
          <w:tcPr>
            <w:tcW w:type="dxa" w:w="346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LDAP + Erweiterungen</w:t>
            </w:r>
          </w:p>
        </w:tc>
        <w:tc>
          <w:tcPr>
            <w:tcW w:type="dxa" w:w="346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reines LDAP</w:t>
            </w:r>
          </w:p>
        </w:tc>
      </w:tr>
      <w:tr>
        <w:tc>
          <w:tcPr>
            <w:tcW w:type="dxa" w:w="210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Authentifizierung</w:t>
            </w:r>
          </w:p>
        </w:tc>
        <w:tc>
          <w:tcPr>
            <w:tcW w:type="dxa" w:w="346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Kerberos &amp; NTLM integriert</w:t>
            </w:r>
          </w:p>
        </w:tc>
        <w:tc>
          <w:tcPr>
            <w:tcW w:type="dxa" w:w="346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extern (z. B. SASL/Kerberos)</w:t>
            </w:r>
          </w:p>
        </w:tc>
      </w:tr>
      <w:tr>
        <w:tc>
          <w:tcPr>
            <w:tcW w:type="dxa" w:w="210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Richtlinien</w:t>
            </w:r>
          </w:p>
        </w:tc>
        <w:tc>
          <w:tcPr>
            <w:tcW w:type="dxa" w:w="346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GPO eingebaut</w:t>
            </w:r>
          </w:p>
        </w:tc>
        <w:tc>
          <w:tcPr>
            <w:tcW w:type="dxa" w:w="346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keine (externe Tools nötig)</w:t>
            </w:r>
          </w:p>
        </w:tc>
      </w:tr>
      <w:tr>
        <w:tc>
          <w:tcPr>
            <w:tcW w:type="dxa" w:w="210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Verwaltung</w:t>
            </w:r>
          </w:p>
        </w:tc>
        <w:tc>
          <w:tcPr>
            <w:tcW w:type="dxa" w:w="346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GUI + PowerShell</w:t>
            </w:r>
          </w:p>
        </w:tc>
        <w:tc>
          <w:tcPr>
            <w:tcW w:type="dxa" w:w="346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CLI / LDIF / Web-Tools</w:t>
            </w:r>
          </w:p>
        </w:tc>
      </w:tr>
      <w:tr>
        <w:tc>
          <w:tcPr>
            <w:tcW w:type="dxa" w:w="210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Typischer Einsatz</w:t>
            </w:r>
          </w:p>
        </w:tc>
        <w:tc>
          <w:tcPr>
            <w:tcW w:type="dxa" w:w="346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Windows-Domänen</w:t>
            </w:r>
          </w:p>
        </w:tc>
        <w:tc>
          <w:tcPr>
            <w:tcW w:type="dxa" w:w="346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Linux-Dienste, App-Backends</w:t>
            </w:r>
          </w:p>
        </w:tc>
      </w:tr>
    </w:tbl>
    <w:p>
      <w:pPr>
        <w:pStyle w:val="Heading1"/>
        <w:spacing w:after="140" w:before="320"/>
      </w:pPr>
      <w:r>
        <w:rPr>
          <w:rFonts w:ascii="Calibri" w:cs="Calibri" w:eastAsia="Calibri" w:hAnsi="Calibri"/>
          <w:b/>
          <w:bCs/>
          <w:color w:val="003366"/>
          <w:sz w:val="30"/>
          <w:szCs w:val="30"/>
        </w:rPr>
        <w:t xml:space="preserve">10  Vor- &amp; Nachteile zentraler Verzeichnisdienste</w:t>
      </w:r>
    </w:p>
    <w:p>
      <w:pPr>
        <w:pStyle w:val="Heading2"/>
        <w:spacing w:after="100" w:before="220"/>
      </w:pPr>
      <w:r>
        <w:rPr>
          <w:rFonts w:ascii="Calibri" w:cs="Calibri" w:eastAsia="Calibri" w:hAnsi="Calibri"/>
          <w:b/>
          <w:bCs/>
          <w:color w:val="0066AA"/>
          <w:sz w:val="25"/>
          <w:szCs w:val="25"/>
        </w:rPr>
        <w:t xml:space="preserve">Vorteile</w:t>
      </w:r>
    </w:p>
    <w:p>
      <w:pPr>
        <w:pStyle w:val="ListParagraph"/>
        <w:numPr>
          <w:ilvl w:val="0"/>
          <w:numId w:val="2"/>
        </w:numPr>
        <w:spacing w:after="70" w:line="270"/>
      </w:pPr>
      <w:r>
        <w:rPr>
          <w:rFonts w:ascii="Calibri" w:cs="Calibri" w:eastAsia="Calibri" w:hAnsi="Calibri"/>
          <w:color w:val="1A1A1A"/>
          <w:sz w:val="22"/>
          <w:szCs w:val="22"/>
        </w:rPr>
        <w:t xml:space="preserve">Single Sign-On — einmal anmelden, alle Dienste nutzen.</w:t>
      </w:r>
    </w:p>
    <w:p>
      <w:pPr>
        <w:pStyle w:val="ListParagraph"/>
        <w:numPr>
          <w:ilvl w:val="0"/>
          <w:numId w:val="2"/>
        </w:numPr>
        <w:spacing w:after="70" w:line="270"/>
      </w:pPr>
      <w:r>
        <w:rPr>
          <w:rFonts w:ascii="Calibri" w:cs="Calibri" w:eastAsia="Calibri" w:hAnsi="Calibri"/>
          <w:color w:val="1A1A1A"/>
          <w:sz w:val="22"/>
          <w:szCs w:val="22"/>
        </w:rPr>
        <w:t xml:space="preserve">Zentrale Pflege spart Zeit und reduziert Fehler.</w:t>
      </w:r>
    </w:p>
    <w:p>
      <w:pPr>
        <w:pStyle w:val="ListParagraph"/>
        <w:numPr>
          <w:ilvl w:val="0"/>
          <w:numId w:val="2"/>
        </w:numPr>
        <w:spacing w:after="70" w:line="270"/>
      </w:pPr>
      <w:r>
        <w:rPr>
          <w:rFonts w:ascii="Calibri" w:cs="Calibri" w:eastAsia="Calibri" w:hAnsi="Calibri"/>
          <w:color w:val="1A1A1A"/>
          <w:sz w:val="22"/>
          <w:szCs w:val="22"/>
        </w:rPr>
        <w:t xml:space="preserve">Einheitliche Sicherheits- und Passwortrichtlinien.</w:t>
      </w:r>
    </w:p>
    <w:p>
      <w:pPr>
        <w:pStyle w:val="ListParagraph"/>
        <w:numPr>
          <w:ilvl w:val="0"/>
          <w:numId w:val="2"/>
        </w:numPr>
        <w:spacing w:after="70" w:line="270"/>
      </w:pPr>
      <w:r>
        <w:rPr>
          <w:rFonts w:ascii="Calibri" w:cs="Calibri" w:eastAsia="Calibri" w:hAnsi="Calibri"/>
          <w:color w:val="1A1A1A"/>
          <w:sz w:val="22"/>
          <w:szCs w:val="22"/>
        </w:rPr>
        <w:t xml:space="preserve">Feingranulare Rechtevergabe über Gruppen.</w:t>
      </w:r>
    </w:p>
    <w:p>
      <w:pPr>
        <w:pStyle w:val="ListParagraph"/>
        <w:numPr>
          <w:ilvl w:val="0"/>
          <w:numId w:val="2"/>
        </w:numPr>
        <w:spacing w:after="70" w:line="270"/>
      </w:pPr>
      <w:r>
        <w:rPr>
          <w:rFonts w:ascii="Calibri" w:cs="Calibri" w:eastAsia="Calibri" w:hAnsi="Calibri"/>
          <w:color w:val="1A1A1A"/>
          <w:sz w:val="22"/>
          <w:szCs w:val="22"/>
        </w:rPr>
        <w:t xml:space="preserve">Schnelles On- und Offboarding von Mitarbeitenden.</w:t>
      </w:r>
    </w:p>
    <w:p>
      <w:pPr>
        <w:pStyle w:val="Heading2"/>
        <w:spacing w:after="100" w:before="220"/>
      </w:pPr>
      <w:r>
        <w:rPr>
          <w:rFonts w:ascii="Calibri" w:cs="Calibri" w:eastAsia="Calibri" w:hAnsi="Calibri"/>
          <w:b/>
          <w:bCs/>
          <w:color w:val="0066AA"/>
          <w:sz w:val="25"/>
          <w:szCs w:val="25"/>
        </w:rPr>
        <w:t xml:space="preserve">Nachteile und Risiken</w:t>
      </w:r>
    </w:p>
    <w:p>
      <w:pPr>
        <w:pStyle w:val="ListParagraph"/>
        <w:numPr>
          <w:ilvl w:val="0"/>
          <w:numId w:val="2"/>
        </w:numPr>
        <w:spacing w:after="70" w:line="270"/>
      </w:pPr>
      <w:r>
        <w:rPr>
          <w:rFonts w:ascii="Calibri" w:cs="Calibri" w:eastAsia="Calibri" w:hAnsi="Calibri"/>
          <w:color w:val="1A1A1A"/>
          <w:sz w:val="22"/>
          <w:szCs w:val="22"/>
        </w:rPr>
        <w:t xml:space="preserve">Single Point of Failure: Fällt der Domänencontroller aus, ist keine Anmeldung mehr möglich. Gegenmaßnahme: mehrere replizierende DCs.</w:t>
      </w:r>
    </w:p>
    <w:p>
      <w:pPr>
        <w:pStyle w:val="ListParagraph"/>
        <w:numPr>
          <w:ilvl w:val="0"/>
          <w:numId w:val="2"/>
        </w:numPr>
        <w:spacing w:after="70" w:line="270"/>
      </w:pPr>
      <w:r>
        <w:rPr>
          <w:rFonts w:ascii="Calibri" w:cs="Calibri" w:eastAsia="Calibri" w:hAnsi="Calibri"/>
          <w:color w:val="1A1A1A"/>
          <w:sz w:val="22"/>
          <w:szCs w:val="22"/>
        </w:rPr>
        <w:t xml:space="preserve">Höhere Einrichtungs- und Planungskomplexität.</w:t>
      </w:r>
    </w:p>
    <w:p>
      <w:pPr>
        <w:pStyle w:val="ListParagraph"/>
        <w:numPr>
          <w:ilvl w:val="0"/>
          <w:numId w:val="2"/>
        </w:numPr>
        <w:spacing w:after="70" w:line="270"/>
      </w:pPr>
      <w:r>
        <w:rPr>
          <w:rFonts w:ascii="Calibri" w:cs="Calibri" w:eastAsia="Calibri" w:hAnsi="Calibri"/>
          <w:color w:val="1A1A1A"/>
          <w:sz w:val="22"/>
          <w:szCs w:val="22"/>
        </w:rPr>
        <w:t xml:space="preserve">Eine Fehlkonfiguration wirkt sofort netzwerkweit.</w:t>
      </w:r>
    </w:p>
    <w:p>
      <w:pPr>
        <w:pStyle w:val="ListParagraph"/>
        <w:numPr>
          <w:ilvl w:val="0"/>
          <w:numId w:val="2"/>
        </w:numPr>
        <w:spacing w:after="70" w:line="270"/>
      </w:pPr>
      <w:r>
        <w:rPr>
          <w:rFonts w:ascii="Calibri" w:cs="Calibri" w:eastAsia="Calibri" w:hAnsi="Calibri"/>
          <w:color w:val="1A1A1A"/>
          <w:sz w:val="22"/>
          <w:szCs w:val="22"/>
        </w:rPr>
        <w:t xml:space="preserve">Der Verzeichnisdienst ist ein attraktives Angriffsziel und muss konsequent gehärtet werden.</w:t>
      </w:r>
    </w:p>
    <w:p>
      <w:pPr>
        <w:pStyle w:val="Heading1"/>
        <w:spacing w:after="140" w:before="320"/>
      </w:pPr>
      <w:r>
        <w:rPr>
          <w:rFonts w:ascii="Calibri" w:cs="Calibri" w:eastAsia="Calibri" w:hAnsi="Calibri"/>
          <w:b/>
          <w:bCs/>
          <w:color w:val="003366"/>
          <w:sz w:val="30"/>
          <w:szCs w:val="30"/>
        </w:rPr>
        <w:t xml:space="preserve">Zusammenfassung</w:t>
      </w:r>
    </w:p>
    <w:p>
      <w:pPr>
        <w:spacing w:after="120" w:line="276"/>
      </w:pPr>
      <w:r>
        <w:rPr>
          <w:rFonts w:ascii="Calibri" w:cs="Calibri" w:eastAsia="Calibri" w:hAnsi="Calibri"/>
          <w:color w:val="1A1A1A"/>
          <w:sz w:val="22"/>
          <w:szCs w:val="22"/>
        </w:rPr>
        <w:t xml:space="preserve">Ein Verzeichnisdienst ist die zentrale Identitäts- und Ressourcenquelle eines Netzwerks. LDAP ist das gemeinsame Zugriffsprotokoll; DN, Attribut und Objektklasse sind die Grundbausteine. Active Directory strukturiert in Forest → Tree → Domain → OU und liefert Authentifizierung, DNS und Gruppenrichtlinien gleich mit. openLDAP ist das schlanke, freie Linux-Pendant ohne diese Zusatzdienste. Die Zentralisierung bringt enorme Effizienzgewinne, verlangt aber Redundanz und Härtung.</w:t>
      </w:r>
    </w:p>
    <w:p>
      <w:pPr>
        <w:pStyle w:val="Heading1"/>
        <w:spacing w:after="140" w:before="320"/>
      </w:pPr>
      <w:r>
        <w:rPr>
          <w:rFonts w:ascii="Calibri" w:cs="Calibri" w:eastAsia="Calibri" w:hAnsi="Calibri"/>
          <w:b/>
          <w:bCs/>
          <w:color w:val="003366"/>
          <w:sz w:val="30"/>
          <w:szCs w:val="30"/>
        </w:rPr>
        <w:t xml:space="preserve">Glossar / Abkürzungen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rPr>
          <w:tblHeader/>
        </w:trPr>
        <w:tc>
          <w:tcPr>
            <w:tcW w:type="dxa" w:w="23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Begriff</w:t>
            </w:r>
          </w:p>
        </w:tc>
        <w:tc>
          <w:tcPr>
            <w:tcW w:type="dxa" w:w="67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AD DS</w:t>
            </w:r>
          </w:p>
        </w:tc>
        <w:tc>
          <w:tcPr>
            <w:tcW w:type="dxa" w:w="6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Active Directory Domain Services — Microsofts Verzeichnisdienst</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LDAP</w:t>
            </w:r>
          </w:p>
        </w:tc>
        <w:tc>
          <w:tcPr>
            <w:tcW w:type="dxa" w:w="6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Lightweight Directory Access Protocol (Port 389 / 636)</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DN / RDN</w:t>
            </w:r>
          </w:p>
        </w:tc>
        <w:tc>
          <w:tcPr>
            <w:tcW w:type="dxa" w:w="6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Distinguished Name / Relative Distinguished Name</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OU</w:t>
            </w:r>
          </w:p>
        </w:tc>
        <w:tc>
          <w:tcPr>
            <w:tcW w:type="dxa" w:w="6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Organizational Unit — Organisationseinheit, Container in der Domäne</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DC</w:t>
            </w:r>
          </w:p>
        </w:tc>
        <w:tc>
          <w:tcPr>
            <w:tcW w:type="dxa" w:w="6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Domain Controller — Server mit der AD-Datenbank</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GPO</w:t>
            </w:r>
          </w:p>
        </w:tc>
        <w:tc>
          <w:tcPr>
            <w:tcW w:type="dxa" w:w="6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Group Policy Object — Gruppenrichtlinie</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DIT</w:t>
            </w:r>
          </w:p>
        </w:tc>
        <w:tc>
          <w:tcPr>
            <w:tcW w:type="dxa" w:w="6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Directory Information Tree — Datenbaum in openLDAP</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LDIF</w:t>
            </w:r>
          </w:p>
        </w:tc>
        <w:tc>
          <w:tcPr>
            <w:tcW w:type="dxa" w:w="6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LDAP Data Interchange Format — Textformat für Einträge</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slapd</w:t>
            </w:r>
          </w:p>
        </w:tc>
        <w:tc>
          <w:tcPr>
            <w:tcW w:type="dxa" w:w="67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Standalone LDAP Daemon — der openLDAP-Serverdienst</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SSO</w:t>
            </w:r>
          </w:p>
        </w:tc>
        <w:tc>
          <w:tcPr>
            <w:tcW w:type="dxa" w:w="67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Single Sign-On — einmalige Anmeldung für mehrere Dienste</w:t>
            </w:r>
          </w:p>
        </w:tc>
      </w:tr>
    </w:tbl>
    <w:p>
      <w:pPr>
        <w:pStyle w:val="Heading1"/>
        <w:spacing w:after="140" w:before="320"/>
      </w:pPr>
      <w:r>
        <w:rPr>
          <w:rFonts w:ascii="Calibri" w:cs="Calibri" w:eastAsia="Calibri" w:hAnsi="Calibri"/>
          <w:b/>
          <w:bCs/>
          <w:color w:val="003366"/>
          <w:sz w:val="30"/>
          <w:szCs w:val="30"/>
        </w:rPr>
        <w:t xml:space="preserve">Kontrollfragen zur Selbstüberprüfung</w:t>
      </w:r>
    </w:p>
    <w:p>
      <w:pPr>
        <w:pStyle w:val="ListParagraph"/>
        <w:numPr>
          <w:ilvl w:val="0"/>
          <w:numId w:val="3"/>
        </w:numPr>
        <w:spacing w:after="90" w:line="270"/>
      </w:pPr>
      <w:r>
        <w:rPr>
          <w:rFonts w:ascii="Calibri" w:cs="Calibri" w:eastAsia="Calibri" w:hAnsi="Calibri"/>
          <w:color w:val="1A1A1A"/>
          <w:sz w:val="22"/>
          <w:szCs w:val="22"/>
        </w:rPr>
        <w:t xml:space="preserve">Worin unterscheidet sich ein Verzeichnisdienst von einer relationalen Datenbank?</w:t>
      </w:r>
    </w:p>
    <w:p>
      <w:pPr>
        <w:pStyle w:val="ListParagraph"/>
        <w:numPr>
          <w:ilvl w:val="0"/>
          <w:numId w:val="3"/>
        </w:numPr>
        <w:spacing w:after="90" w:line="270"/>
      </w:pPr>
      <w:r>
        <w:rPr>
          <w:rFonts w:ascii="Calibri" w:cs="Calibri" w:eastAsia="Calibri" w:hAnsi="Calibri"/>
          <w:color w:val="1A1A1A"/>
          <w:sz w:val="22"/>
          <w:szCs w:val="22"/>
        </w:rPr>
        <w:t xml:space="preserve">Erklären Sie die Begriffe DN, RDN, Attribut und Objektklasse an einem eigenen Beispiel.</w:t>
      </w:r>
    </w:p>
    <w:p>
      <w:pPr>
        <w:pStyle w:val="ListParagraph"/>
        <w:numPr>
          <w:ilvl w:val="0"/>
          <w:numId w:val="3"/>
        </w:numPr>
        <w:spacing w:after="90" w:line="270"/>
      </w:pPr>
      <w:r>
        <w:rPr>
          <w:rFonts w:ascii="Calibri" w:cs="Calibri" w:eastAsia="Calibri" w:hAnsi="Calibri"/>
          <w:color w:val="1A1A1A"/>
          <w:sz w:val="22"/>
          <w:szCs w:val="22"/>
        </w:rPr>
        <w:t xml:space="preserve">Ordnen Sie Forest, Tree, Domain und OU vom Allgemeinen zum Speziellen.</w:t>
      </w:r>
    </w:p>
    <w:p>
      <w:pPr>
        <w:pStyle w:val="ListParagraph"/>
        <w:numPr>
          <w:ilvl w:val="0"/>
          <w:numId w:val="3"/>
        </w:numPr>
        <w:spacing w:after="90" w:line="270"/>
      </w:pPr>
      <w:r>
        <w:rPr>
          <w:rFonts w:ascii="Calibri" w:cs="Calibri" w:eastAsia="Calibri" w:hAnsi="Calibri"/>
          <w:color w:val="1A1A1A"/>
          <w:sz w:val="22"/>
          <w:szCs w:val="22"/>
        </w:rPr>
        <w:t xml:space="preserve">Warum kann ohne funktionierendes DNS keine Anmeldung an Active Directory erfolgen?</w:t>
      </w:r>
    </w:p>
    <w:p>
      <w:pPr>
        <w:pStyle w:val="ListParagraph"/>
        <w:numPr>
          <w:ilvl w:val="0"/>
          <w:numId w:val="3"/>
        </w:numPr>
        <w:spacing w:after="90" w:line="270"/>
      </w:pPr>
      <w:r>
        <w:rPr>
          <w:rFonts w:ascii="Calibri" w:cs="Calibri" w:eastAsia="Calibri" w:hAnsi="Calibri"/>
          <w:color w:val="1A1A1A"/>
          <w:sz w:val="22"/>
          <w:szCs w:val="22"/>
        </w:rPr>
        <w:t xml:space="preserve">Erläutern Sie die LSDOU-Reihenfolge bei Gruppenrichtlinien. Welche Stufe gewinnt im Konflikt?</w:t>
      </w:r>
    </w:p>
    <w:p>
      <w:pPr>
        <w:pStyle w:val="ListParagraph"/>
        <w:numPr>
          <w:ilvl w:val="0"/>
          <w:numId w:val="3"/>
        </w:numPr>
        <w:spacing w:after="90" w:line="270"/>
      </w:pPr>
      <w:r>
        <w:rPr>
          <w:rFonts w:ascii="Calibri" w:cs="Calibri" w:eastAsia="Calibri" w:hAnsi="Calibri"/>
          <w:color w:val="1A1A1A"/>
          <w:sz w:val="22"/>
          <w:szCs w:val="22"/>
        </w:rPr>
        <w:t xml:space="preserve">Nennen Sie zwei Funktionen, die Active Directory mitbringt, openLDAP aber nicht.</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Serverdienste bereitstellen</w:t>
    </w:r>
    <w:r>
      <w:rPr>
        <w:rFonts w:ascii="Calibri" w:cs="Calibri" w:eastAsia="Calibri" w:hAnsi="Calibri"/>
        <w:color w:val="5A6B7B"/>
        <w:sz w:val="16"/>
        <w:szCs w:val="16"/>
      </w:rPr>
      <w:t xml:space="preserve">	Etappe 1: Verzeichnisdienste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lvl w:ilvl="1" w15:tentative="1">
      <w:start w:val="1"/>
      <w:numFmt w:val="bullet"/>
      <w:lvlText w:val="–"/>
      <w:lvlJc w:val="left"/>
      <w:pPr>
        <w:ind w:left="880" w:hanging="260"/>
      </w:p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1 – Handout Verzeichnisdienste</dc:title>
  <dc:creator>[Vor- und Nachname]</dc:creator>
  <cp:lastModifiedBy>Un-named</cp:lastModifiedBy>
  <cp:revision>1</cp:revision>
  <dcterms:created xsi:type="dcterms:W3CDTF">2026-06-23T13:13:39.513Z</dcterms:created>
  <dcterms:modified xsi:type="dcterms:W3CDTF">2026-06-23T13:13:39.513Z</dcterms:modified>
</cp:coreProperties>
</file>

<file path=docProps/custom.xml><?xml version="1.0" encoding="utf-8"?>
<Properties xmlns="http://schemas.openxmlformats.org/officeDocument/2006/custom-properties" xmlns:vt="http://schemas.openxmlformats.org/officeDocument/2006/docPropsVTypes"/>
</file>