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0"/>
      </w:pPr>
    </w:p>
    <w:p>
      <w:pPr>
        <w:spacing w:after="200"/>
        <w:jc w:val="center"/>
      </w:pPr>
      <w:r>
        <w:rPr>
          <w:rFonts w:ascii="Arial" w:cs="Arial" w:eastAsia="Arial" w:hAnsi="Arial"/>
          <w:b/>
          <w:bCs/>
          <w:color w:val="1F4E79"/>
          <w:sz w:val="52"/>
          <w:szCs w:val="52"/>
        </w:rPr>
        <w:t xml:space="preserve">LERNZETTEL</w:t>
      </w:r>
    </w:p>
    <w:p>
      <w:pPr>
        <w:spacing w:after="100"/>
        <w:jc w:val="center"/>
      </w:pPr>
      <w:r>
        <w:rPr>
          <w:rFonts w:ascii="Arial" w:cs="Arial" w:eastAsia="Arial" w:hAnsi="Arial"/>
          <w:color w:val="333333"/>
          <w:sz w:val="30"/>
          <w:szCs w:val="30"/>
        </w:rPr>
        <w:t xml:space="preserve">Modul J – Netzwerk und Dienste bereitstellen</w:t>
      </w:r>
    </w:p>
    <w:p>
      <w:pPr>
        <w:spacing w:after="400"/>
        <w:jc w:val="center"/>
      </w:pPr>
      <w:r>
        <w:rPr>
          <w:rFonts w:ascii="Arial" w:cs="Arial" w:eastAsia="Arial" w:hAnsi="Arial"/>
          <w:i/>
          <w:iCs/>
          <w:color w:val="666666"/>
          <w:sz w:val="22"/>
          <w:szCs w:val="22"/>
        </w:rPr>
        <w:t xml:space="preserve">Klausurvorbereitung – Alle prüfungsrelevanten Themen</w:t>
      </w:r>
    </w:p>
    <w:p>
      <w:pPr>
        <w:spacing w:after="60"/>
        <w:jc w:val="center"/>
      </w:pPr>
      <w:r>
        <w:rPr>
          <w:rFonts w:ascii="Arial" w:cs="Arial" w:eastAsia="Arial" w:hAnsi="Arial"/>
          <w:b/>
          <w:bCs/>
          <w:color w:val="1F4E79"/>
          <w:sz w:val="24"/>
          <w:szCs w:val="24"/>
        </w:rPr>
        <w:t xml:space="preserve">Themenübersicht</w:t>
      </w:r>
    </w:p>
    <w:p>
      <w:pPr>
        <w:spacing w:after="40"/>
        <w:jc w:val="center"/>
      </w:pPr>
      <w:r>
        <w:rPr>
          <w:rFonts w:ascii="Arial" w:cs="Arial" w:eastAsia="Arial" w:hAnsi="Arial"/>
          <w:color w:val="444444"/>
          <w:sz w:val="20"/>
          <w:szCs w:val="20"/>
        </w:rPr>
        <w:t xml:space="preserve">1. OSI-Referenzmodell</w:t>
      </w:r>
    </w:p>
    <w:p>
      <w:pPr>
        <w:spacing w:after="40"/>
        <w:jc w:val="center"/>
      </w:pPr>
      <w:r>
        <w:rPr>
          <w:rFonts w:ascii="Arial" w:cs="Arial" w:eastAsia="Arial" w:hAnsi="Arial"/>
          <w:color w:val="444444"/>
          <w:sz w:val="20"/>
          <w:szCs w:val="20"/>
        </w:rPr>
        <w:t xml:space="preserve">2. IPv4-Adressierung &amp; Subnetting</w:t>
      </w:r>
    </w:p>
    <w:p>
      <w:pPr>
        <w:spacing w:after="40"/>
        <w:jc w:val="center"/>
      </w:pPr>
      <w:r>
        <w:rPr>
          <w:rFonts w:ascii="Arial" w:cs="Arial" w:eastAsia="Arial" w:hAnsi="Arial"/>
          <w:color w:val="444444"/>
          <w:sz w:val="20"/>
          <w:szCs w:val="20"/>
        </w:rPr>
        <w:t xml:space="preserve">3. IPv6</w:t>
      </w:r>
    </w:p>
    <w:p>
      <w:pPr>
        <w:spacing w:after="40"/>
        <w:jc w:val="center"/>
      </w:pPr>
      <w:r>
        <w:rPr>
          <w:rFonts w:ascii="Arial" w:cs="Arial" w:eastAsia="Arial" w:hAnsi="Arial"/>
          <w:color w:val="444444"/>
          <w:sz w:val="20"/>
          <w:szCs w:val="20"/>
        </w:rPr>
        <w:t xml:space="preserve">4. DHCP</w:t>
      </w:r>
    </w:p>
    <w:p>
      <w:pPr>
        <w:spacing w:after="40"/>
        <w:jc w:val="center"/>
      </w:pPr>
      <w:r>
        <w:rPr>
          <w:rFonts w:ascii="Arial" w:cs="Arial" w:eastAsia="Arial" w:hAnsi="Arial"/>
          <w:color w:val="444444"/>
          <w:sz w:val="20"/>
          <w:szCs w:val="20"/>
        </w:rPr>
        <w:t xml:space="preserve">5. DNS</w:t>
      </w:r>
    </w:p>
    <w:p>
      <w:pPr>
        <w:spacing w:after="40"/>
        <w:jc w:val="center"/>
      </w:pPr>
      <w:r>
        <w:rPr>
          <w:rFonts w:ascii="Arial" w:cs="Arial" w:eastAsia="Arial" w:hAnsi="Arial"/>
          <w:color w:val="444444"/>
          <w:sz w:val="20"/>
          <w:szCs w:val="20"/>
        </w:rPr>
        <w:t xml:space="preserve">6. Routing</w:t>
      </w:r>
    </w:p>
    <w:p>
      <w:pPr>
        <w:spacing w:after="40"/>
        <w:jc w:val="center"/>
      </w:pPr>
      <w:r>
        <w:rPr>
          <w:rFonts w:ascii="Arial" w:cs="Arial" w:eastAsia="Arial" w:hAnsi="Arial"/>
          <w:color w:val="444444"/>
          <w:sz w:val="20"/>
          <w:szCs w:val="20"/>
        </w:rPr>
        <w:t xml:space="preserve">7. VLAN</w:t>
      </w:r>
    </w:p>
    <w:p>
      <w:pPr>
        <w:spacing w:after="40"/>
        <w:jc w:val="center"/>
      </w:pPr>
      <w:r>
        <w:rPr>
          <w:rFonts w:ascii="Arial" w:cs="Arial" w:eastAsia="Arial" w:hAnsi="Arial"/>
          <w:color w:val="444444"/>
          <w:sz w:val="20"/>
          <w:szCs w:val="20"/>
        </w:rPr>
        <w:t xml:space="preserve">8. VPN &amp; SSL/TLS</w:t>
      </w:r>
    </w:p>
    <w:p>
      <w:pPr>
        <w:spacing w:after="40"/>
        <w:jc w:val="center"/>
      </w:pPr>
      <w:r>
        <w:rPr>
          <w:rFonts w:ascii="Arial" w:cs="Arial" w:eastAsia="Arial" w:hAnsi="Arial"/>
          <w:color w:val="444444"/>
          <w:sz w:val="20"/>
          <w:szCs w:val="20"/>
        </w:rPr>
        <w:t xml:space="preserve">9. Firewall &amp; Paketfilter</w:t>
      </w:r>
    </w:p>
    <w:p>
      <w:pPr>
        <w:spacing w:after="40"/>
        <w:jc w:val="center"/>
      </w:pPr>
      <w:r>
        <w:rPr>
          <w:rFonts w:ascii="Arial" w:cs="Arial" w:eastAsia="Arial" w:hAnsi="Arial"/>
          <w:color w:val="444444"/>
          <w:sz w:val="20"/>
          <w:szCs w:val="20"/>
        </w:rPr>
        <w:t xml:space="preserve">10. RAID-Systeme</w:t>
      </w:r>
    </w:p>
    <w:p>
      <w:pPr>
        <w:spacing w:after="40"/>
        <w:jc w:val="center"/>
      </w:pPr>
      <w:r>
        <w:rPr>
          <w:rFonts w:ascii="Arial" w:cs="Arial" w:eastAsia="Arial" w:hAnsi="Arial"/>
          <w:color w:val="444444"/>
          <w:sz w:val="20"/>
          <w:szCs w:val="20"/>
        </w:rPr>
        <w:t xml:space="preserve">11. Backup-Strategien</w:t>
      </w:r>
    </w:p>
    <w:p>
      <w:pPr>
        <w:spacing w:after="40"/>
        <w:jc w:val="center"/>
      </w:pPr>
      <w:r>
        <w:rPr>
          <w:rFonts w:ascii="Arial" w:cs="Arial" w:eastAsia="Arial" w:hAnsi="Arial"/>
          <w:color w:val="444444"/>
          <w:sz w:val="20"/>
          <w:szCs w:val="20"/>
        </w:rPr>
        <w:t xml:space="preserve">12. USV</w:t>
      </w:r>
    </w:p>
    <w:p>
      <w:pPr>
        <w:spacing w:after="40"/>
        <w:jc w:val="center"/>
      </w:pPr>
      <w:r>
        <w:rPr>
          <w:rFonts w:ascii="Arial" w:cs="Arial" w:eastAsia="Arial" w:hAnsi="Arial"/>
          <w:color w:val="444444"/>
          <w:sz w:val="20"/>
          <w:szCs w:val="20"/>
        </w:rPr>
        <w:t xml:space="preserve">13. Virtualisierung</w:t>
      </w:r>
    </w:p>
    <w:p>
      <w:pPr>
        <w:spacing w:after="40"/>
        <w:jc w:val="center"/>
      </w:pPr>
      <w:r>
        <w:rPr>
          <w:rFonts w:ascii="Arial" w:cs="Arial" w:eastAsia="Arial" w:hAnsi="Arial"/>
          <w:color w:val="444444"/>
          <w:sz w:val="20"/>
          <w:szCs w:val="20"/>
        </w:rPr>
        <w:t xml:space="preserve">14. Datenmigration</w:t>
      </w:r>
    </w:p>
    <w:p>
      <w:pPr>
        <w:spacing w:after="40"/>
        <w:jc w:val="center"/>
      </w:pPr>
      <w:r>
        <w:rPr>
          <w:rFonts w:ascii="Arial" w:cs="Arial" w:eastAsia="Arial" w:hAnsi="Arial"/>
          <w:color w:val="444444"/>
          <w:sz w:val="20"/>
          <w:szCs w:val="20"/>
        </w:rPr>
        <w:t xml:space="preserve">15. Kernisolation &amp; Sicherheit</w:t>
      </w:r>
    </w:p>
    <w:p>
      <w:r>
        <w:br w:type="page"/>
      </w:r>
    </w:p>
    <w:p>
      <w:pPr>
        <w:pStyle w:val="Heading1"/>
      </w:pPr>
      <w:r>
        <w:rPr>
          <w:rFonts w:ascii="Arial" w:cs="Arial" w:eastAsia="Arial" w:hAnsi="Arial"/>
        </w:rPr>
        <w:t xml:space="preserve">1. OSI-Referenzmodell</w:t>
      </w:r>
    </w:p>
    <w:p>
      <w:pPr>
        <w:spacing w:after="80"/>
      </w:pPr>
      <w:r>
        <w:rPr>
          <w:rFonts w:ascii="Arial" w:cs="Arial" w:eastAsia="Arial" w:hAnsi="Arial"/>
          <w:b w:val="false"/>
          <w:bCs w:val="false"/>
          <w:i w:val="false"/>
          <w:iCs w:val="false"/>
          <w:sz w:val="20"/>
          <w:szCs w:val="20"/>
        </w:rPr>
        <w:t xml:space="preserve">Das OSI-Referenzmodell (Open Systems Interconnection) ist ein Schichtenmodell mit 7 Schichten, das die Kommunikation in Netzwerken standardisiert beschreibt. Es dient als Referenz, um Netzwerkprotokolle und -geräte einzuordnen.</w:t>
      </w:r>
    </w:p>
    <w:p>
      <w:pPr>
        <w:spacing w:after="40"/>
      </w:pP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800"/>
        <w:gridCol w:w="2200"/>
        <w:gridCol w:w="2400"/>
        <w:gridCol w:w="2000"/>
        <w:gridCol w:w="2226"/>
      </w:tblGrid>
      <w:tr>
        <w:tc>
          <w:tcPr>
            <w:tcW w:type="dxa" w:w="8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Nr.</w:t>
            </w:r>
          </w:p>
        </w:tc>
        <w:tc>
          <w:tcPr>
            <w:tcW w:type="dxa" w:w="22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Schicht</w:t>
            </w:r>
          </w:p>
        </w:tc>
        <w:tc>
          <w:tcPr>
            <w:tcW w:type="dxa" w:w="24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Funktion</w:t>
            </w:r>
          </w:p>
        </w:tc>
        <w:tc>
          <w:tcPr>
            <w:tcW w:type="dxa" w:w="20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Protokolle</w:t>
            </w:r>
          </w:p>
        </w:tc>
        <w:tc>
          <w:tcPr>
            <w:tcW w:type="dxa" w:w="2226"/>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Geräte</w:t>
            </w:r>
          </w:p>
        </w:tc>
      </w:tr>
      <w:tr>
        <w:tc>
          <w:tcPr>
            <w:tcW w:type="dxa" w:w="8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7</w:t>
            </w:r>
          </w:p>
        </w:tc>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Anwendung (Application)</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Schnittstelle für Anwendungen</w:t>
            </w:r>
          </w:p>
        </w:tc>
        <w:tc>
          <w:tcPr>
            <w:tcW w:type="dxa" w:w="20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HTTP, FTP, SMTP, DNS, DHCP</w:t>
            </w:r>
          </w:p>
        </w:tc>
        <w:tc>
          <w:tcPr>
            <w:tcW w:type="dxa" w:w="22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Gateway, Proxy</w:t>
            </w:r>
          </w:p>
        </w:tc>
      </w:tr>
      <w:tr>
        <w:tc>
          <w:tcPr>
            <w:tcW w:type="dxa" w:w="8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6</w:t>
            </w:r>
          </w:p>
        </w:tc>
        <w:tc>
          <w:tcPr>
            <w:tcW w:type="dxa" w:w="2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Darstellung (Presentation)</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Datenformat, Verschlüsselung, Kompression</w:t>
            </w:r>
          </w:p>
        </w:tc>
        <w:tc>
          <w:tcPr>
            <w:tcW w:type="dxa" w:w="20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SSL/TLS, JPEG, ASCII</w:t>
            </w:r>
          </w:p>
        </w:tc>
        <w:tc>
          <w:tcPr>
            <w:tcW w:type="dxa" w:w="22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w:t>
            </w:r>
          </w:p>
        </w:tc>
      </w:tr>
      <w:tr>
        <w:tc>
          <w:tcPr>
            <w:tcW w:type="dxa" w:w="8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5</w:t>
            </w:r>
          </w:p>
        </w:tc>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Sitzung (Session)</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Auf-/Abbau und Verwaltung von Sitzungen</w:t>
            </w:r>
          </w:p>
        </w:tc>
        <w:tc>
          <w:tcPr>
            <w:tcW w:type="dxa" w:w="20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NetBIOS, RPC</w:t>
            </w:r>
          </w:p>
        </w:tc>
        <w:tc>
          <w:tcPr>
            <w:tcW w:type="dxa" w:w="22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w:t>
            </w:r>
          </w:p>
        </w:tc>
      </w:tr>
      <w:tr>
        <w:tc>
          <w:tcPr>
            <w:tcW w:type="dxa" w:w="8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4</w:t>
            </w:r>
          </w:p>
        </w:tc>
        <w:tc>
          <w:tcPr>
            <w:tcW w:type="dxa" w:w="2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Transport</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Ende-zu-Ende-Verbindung, Flusskontrolle, Ports</w:t>
            </w:r>
          </w:p>
        </w:tc>
        <w:tc>
          <w:tcPr>
            <w:tcW w:type="dxa" w:w="20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TCP, UDP</w:t>
            </w:r>
          </w:p>
        </w:tc>
        <w:tc>
          <w:tcPr>
            <w:tcW w:type="dxa" w:w="22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w:t>
            </w:r>
          </w:p>
        </w:tc>
      </w:tr>
      <w:tr>
        <w:tc>
          <w:tcPr>
            <w:tcW w:type="dxa" w:w="8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3</w:t>
            </w:r>
          </w:p>
        </w:tc>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Vermittlung (Network)</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Logische Adressierung, Routing</w:t>
            </w:r>
          </w:p>
        </w:tc>
        <w:tc>
          <w:tcPr>
            <w:tcW w:type="dxa" w:w="20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IP, ICMP, ARP, IPsec</w:t>
            </w:r>
          </w:p>
        </w:tc>
        <w:tc>
          <w:tcPr>
            <w:tcW w:type="dxa" w:w="22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Router, L3-Switch</w:t>
            </w:r>
          </w:p>
        </w:tc>
      </w:tr>
      <w:tr>
        <w:tc>
          <w:tcPr>
            <w:tcW w:type="dxa" w:w="8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2</w:t>
            </w:r>
          </w:p>
        </w:tc>
        <w:tc>
          <w:tcPr>
            <w:tcW w:type="dxa" w:w="2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Sicherung (Data Link)</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MAC-Adressierung, Fehlererkennung, Frames</w:t>
            </w:r>
          </w:p>
        </w:tc>
        <w:tc>
          <w:tcPr>
            <w:tcW w:type="dxa" w:w="20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Ethernet, WLAN (802.11), PPP</w:t>
            </w:r>
          </w:p>
        </w:tc>
        <w:tc>
          <w:tcPr>
            <w:tcW w:type="dxa" w:w="22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Switch, Bridge</w:t>
            </w:r>
          </w:p>
        </w:tc>
      </w:tr>
      <w:tr>
        <w:tc>
          <w:tcPr>
            <w:tcW w:type="dxa" w:w="8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1</w:t>
            </w:r>
          </w:p>
        </w:tc>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Bitübertragung (Physical)</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Physikalische Übertragung (Signale, Kabel)</w:t>
            </w:r>
          </w:p>
        </w:tc>
        <w:tc>
          <w:tcPr>
            <w:tcW w:type="dxa" w:w="20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w:t>
            </w:r>
          </w:p>
        </w:tc>
        <w:tc>
          <w:tcPr>
            <w:tcW w:type="dxa" w:w="22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Hub, Repeater, Kabel</w:t>
            </w:r>
          </w:p>
        </w:tc>
      </w:tr>
    </w:tbl>
    <w:p>
      <w:pPr>
        <w:spacing w:after="80"/>
      </w:pPr>
    </w:p>
    <w:p>
      <w:pPr>
        <w:spacing w:after="80"/>
      </w:pPr>
      <w:r>
        <w:rPr>
          <w:rFonts w:ascii="Arial" w:cs="Arial" w:eastAsia="Arial" w:hAnsi="Arial"/>
          <w:b w:val="false"/>
          <w:bCs w:val="false"/>
          <w:i w:val="false"/>
          <w:iCs w:val="false"/>
          <w:sz w:val="20"/>
          <w:szCs w:val="20"/>
        </w:rPr>
        <w:t xml:space="preserve">Merkspruch (von oben): „Alle Deutschen Schüler Trinken Verschiedene Sorten Bier“</w:t>
      </w:r>
    </w:p>
    <w:p>
      <w:pPr>
        <w:spacing w:after="80"/>
      </w:pPr>
      <w:r>
        <w:rPr>
          <w:rFonts w:ascii="Arial" w:cs="Arial" w:eastAsia="Arial" w:hAnsi="Arial"/>
          <w:b w:val="false"/>
          <w:bCs w:val="false"/>
          <w:i w:val="false"/>
          <w:iCs w:val="false"/>
          <w:sz w:val="20"/>
          <w:szCs w:val="20"/>
        </w:rPr>
        <w:t xml:space="preserve">Merkspruch (von unten): „Bitte Studiere Verschiedene Techniken Am Donnerstag Abend“</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In der IHK-Prüfung werden häufig Protokolle und Geräte den Schichten zugeordnet. Die Schichten 2–4 und 7 sind besonders prüfungsrelevant.</w:t>
      </w:r>
    </w:p>
    <w:p>
      <w:pPr>
        <w:spacing w:after="80"/>
      </w:pPr>
    </w:p>
    <w:p>
      <w:pPr>
        <w:spacing w:before="160" w:after="80"/>
      </w:pPr>
      <w:r>
        <w:rPr>
          <w:rFonts w:ascii="Arial" w:cs="Arial" w:eastAsia="Arial" w:hAnsi="Arial"/>
          <w:b/>
          <w:bCs/>
          <w:color w:val="1F4E79"/>
          <w:sz w:val="22"/>
          <w:szCs w:val="22"/>
        </w:rPr>
        <w:t xml:space="preserve">Dateneinheiten pro Schicht (PDU)</w:t>
      </w:r>
    </w:p>
    <w:p>
      <w:pPr>
        <w:spacing w:after="80"/>
      </w:pPr>
      <w:r>
        <w:rPr>
          <w:rFonts w:ascii="Arial" w:cs="Arial" w:eastAsia="Arial" w:hAnsi="Arial"/>
          <w:b w:val="false"/>
          <w:bCs w:val="false"/>
          <w:i w:val="false"/>
          <w:iCs w:val="false"/>
          <w:sz w:val="20"/>
          <w:szCs w:val="20"/>
        </w:rPr>
        <w:t xml:space="preserve">Schicht 7–5: Daten – Schicht 4: Segment (TCP) / Datagramm (UDP) – Schicht 3: Paket – Schicht 2: Frame – Schicht 1: Bit</w:t>
      </w:r>
    </w:p>
    <w:p>
      <w:pPr>
        <w:spacing w:before="160" w:after="80"/>
      </w:pPr>
      <w:r>
        <w:rPr>
          <w:rFonts w:ascii="Arial" w:cs="Arial" w:eastAsia="Arial" w:hAnsi="Arial"/>
          <w:b/>
          <w:bCs/>
          <w:color w:val="1F4E79"/>
          <w:sz w:val="22"/>
          <w:szCs w:val="22"/>
        </w:rPr>
        <w:t xml:space="preserve">Unterschied OSI vs. TCP/IP-Modell</w:t>
      </w:r>
    </w:p>
    <w:p>
      <w:pPr>
        <w:spacing w:after="80"/>
      </w:pPr>
      <w:r>
        <w:rPr>
          <w:rFonts w:ascii="Arial" w:cs="Arial" w:eastAsia="Arial" w:hAnsi="Arial"/>
          <w:b w:val="false"/>
          <w:bCs w:val="false"/>
          <w:i w:val="false"/>
          <w:iCs w:val="false"/>
          <w:sz w:val="20"/>
          <w:szCs w:val="20"/>
        </w:rPr>
        <w:t xml:space="preserve">Das TCP/IP-Modell fasst die Schichten 5–7 zu einer „Anwendungsschicht“ zusammen und die Schichten 1–2 zur „Netzzugangsschicht“. In der Praxis wird TCP/IP verwendet, das OSI-Modell dient als Referenz.</w:t>
      </w:r>
    </w:p>
    <w:p>
      <w:r>
        <w:br w:type="page"/>
      </w:r>
    </w:p>
    <w:p>
      <w:pPr>
        <w:pStyle w:val="Heading1"/>
      </w:pPr>
      <w:r>
        <w:rPr>
          <w:rFonts w:ascii="Arial" w:cs="Arial" w:eastAsia="Arial" w:hAnsi="Arial"/>
        </w:rPr>
        <w:t xml:space="preserve">2. IPv4-Adressierung &amp; Subnetting</w:t>
      </w:r>
    </w:p>
    <w:p>
      <w:pPr>
        <w:spacing w:after="80"/>
      </w:pPr>
      <w:r>
        <w:rPr>
          <w:rFonts w:ascii="Arial" w:cs="Arial" w:eastAsia="Arial" w:hAnsi="Arial"/>
          <w:b w:val="false"/>
          <w:bCs w:val="false"/>
          <w:i w:val="false"/>
          <w:iCs w:val="false"/>
          <w:sz w:val="20"/>
          <w:szCs w:val="20"/>
        </w:rPr>
        <w:t xml:space="preserve">IPv4-Adressen sind 32 Bit lang und werden in Dezimalschreibweise mit vier Oktetten dargestellt (z. B. 192.168.1.100). Jedes Oktett hat einen Wertebereich von 0–255.</w:t>
      </w:r>
    </w:p>
    <w:p>
      <w:pPr>
        <w:spacing w:after="40"/>
      </w:pPr>
    </w:p>
    <w:p>
      <w:pPr>
        <w:spacing w:before="160" w:after="80"/>
      </w:pPr>
      <w:r>
        <w:rPr>
          <w:rFonts w:ascii="Arial" w:cs="Arial" w:eastAsia="Arial" w:hAnsi="Arial"/>
          <w:b/>
          <w:bCs/>
          <w:color w:val="1F4E79"/>
          <w:sz w:val="22"/>
          <w:szCs w:val="22"/>
        </w:rPr>
        <w:t xml:space="preserve">Adressklassen (klassisch)</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1000"/>
        <w:gridCol w:w="2400"/>
        <w:gridCol w:w="2400"/>
        <w:gridCol w:w="1600"/>
        <w:gridCol w:w="2226"/>
      </w:tblGrid>
      <w:tr>
        <w:tc>
          <w:tcPr>
            <w:tcW w:type="dxa" w:w="10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Klasse</w:t>
            </w:r>
          </w:p>
        </w:tc>
        <w:tc>
          <w:tcPr>
            <w:tcW w:type="dxa" w:w="24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Bereich</w:t>
            </w:r>
          </w:p>
        </w:tc>
        <w:tc>
          <w:tcPr>
            <w:tcW w:type="dxa" w:w="24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Subnetzmaske</w:t>
            </w:r>
          </w:p>
        </w:tc>
        <w:tc>
          <w:tcPr>
            <w:tcW w:type="dxa" w:w="16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Präfix</w:t>
            </w:r>
          </w:p>
        </w:tc>
        <w:tc>
          <w:tcPr>
            <w:tcW w:type="dxa" w:w="2226"/>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Hosts/Netz</w:t>
            </w:r>
          </w:p>
        </w:tc>
      </w:tr>
      <w:tr>
        <w:tc>
          <w:tcPr>
            <w:tcW w:type="dxa" w:w="10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A</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1.0.0.0 – 126.255.255.255</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255.0.0.0</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/8</w:t>
            </w:r>
          </w:p>
        </w:tc>
        <w:tc>
          <w:tcPr>
            <w:tcW w:type="dxa" w:w="22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16.777.214</w:t>
            </w:r>
          </w:p>
        </w:tc>
      </w:tr>
      <w:tr>
        <w:tc>
          <w:tcPr>
            <w:tcW w:type="dxa" w:w="10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B</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128.0.0.0 – 191.255.255.255</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255.255.0.0</w:t>
            </w:r>
          </w:p>
        </w:tc>
        <w:tc>
          <w:tcPr>
            <w:tcW w:type="dxa" w:w="1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/16</w:t>
            </w:r>
          </w:p>
        </w:tc>
        <w:tc>
          <w:tcPr>
            <w:tcW w:type="dxa" w:w="22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65.534</w:t>
            </w:r>
          </w:p>
        </w:tc>
      </w:tr>
      <w:tr>
        <w:tc>
          <w:tcPr>
            <w:tcW w:type="dxa" w:w="10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C</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192.0.0.0 – 223.255.255.255</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255.255.255.0</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/24</w:t>
            </w:r>
          </w:p>
        </w:tc>
        <w:tc>
          <w:tcPr>
            <w:tcW w:type="dxa" w:w="22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254</w:t>
            </w:r>
          </w:p>
        </w:tc>
      </w:tr>
    </w:tbl>
    <w:p>
      <w:pPr>
        <w:spacing w:after="80"/>
      </w:pPr>
    </w:p>
    <w:p>
      <w:pPr>
        <w:spacing w:before="160" w:after="80"/>
      </w:pPr>
      <w:r>
        <w:rPr>
          <w:rFonts w:ascii="Arial" w:cs="Arial" w:eastAsia="Arial" w:hAnsi="Arial"/>
          <w:b/>
          <w:bCs/>
          <w:color w:val="1F4E79"/>
          <w:sz w:val="22"/>
          <w:szCs w:val="22"/>
        </w:rPr>
        <w:t xml:space="preserve">Private Adressbereiche (RFC 1918)</w:t>
      </w:r>
    </w:p>
    <w:p>
      <w:pPr>
        <w:spacing w:after="80"/>
      </w:pPr>
      <w:r>
        <w:rPr>
          <w:rFonts w:ascii="Arial" w:cs="Arial" w:eastAsia="Arial" w:hAnsi="Arial"/>
          <w:b w:val="false"/>
          <w:bCs w:val="false"/>
          <w:i w:val="false"/>
          <w:iCs w:val="false"/>
          <w:sz w:val="20"/>
          <w:szCs w:val="20"/>
        </w:rPr>
        <w:t xml:space="preserve">10.0.0.0/8 (Klasse A) – 172.16.0.0/12 (Klasse B) – 192.168.0.0/16 (Klasse C)</w:t>
      </w:r>
    </w:p>
    <w:p>
      <w:pPr>
        <w:spacing w:after="80"/>
      </w:pPr>
      <w:r>
        <w:rPr>
          <w:rFonts w:ascii="Arial" w:cs="Arial" w:eastAsia="Arial" w:hAnsi="Arial"/>
          <w:b w:val="false"/>
          <w:bCs w:val="false"/>
          <w:i w:val="false"/>
          <w:iCs w:val="false"/>
          <w:sz w:val="20"/>
          <w:szCs w:val="20"/>
        </w:rPr>
        <w:t xml:space="preserve">Diese Adressen werden im Internet nicht geroutet und sind für interne Netze vorgesehen.</w:t>
      </w:r>
    </w:p>
    <w:p>
      <w:pPr>
        <w:spacing w:after="80"/>
      </w:pPr>
    </w:p>
    <w:p>
      <w:pPr>
        <w:spacing w:before="160" w:after="80"/>
      </w:pPr>
      <w:r>
        <w:rPr>
          <w:rFonts w:ascii="Arial" w:cs="Arial" w:eastAsia="Arial" w:hAnsi="Arial"/>
          <w:b/>
          <w:bCs/>
          <w:color w:val="1F4E79"/>
          <w:sz w:val="22"/>
          <w:szCs w:val="22"/>
        </w:rPr>
        <w:t xml:space="preserve">Subnetting – Schritt für Schritt</w:t>
      </w:r>
    </w:p>
    <w:p>
      <w:pPr>
        <w:spacing w:after="80"/>
      </w:pPr>
      <w:r>
        <w:rPr>
          <w:rFonts w:ascii="Arial" w:cs="Arial" w:eastAsia="Arial" w:hAnsi="Arial"/>
          <w:b w:val="false"/>
          <w:bCs w:val="false"/>
          <w:i w:val="false"/>
          <w:iCs w:val="false"/>
          <w:sz w:val="20"/>
          <w:szCs w:val="20"/>
        </w:rPr>
        <w:t xml:space="preserve">1. Anzahl benötigter Subnetze bestimmen → wie viele Bits werden für das Subnetz-Feld benötigt?</w:t>
      </w:r>
    </w:p>
    <w:p>
      <w:pPr>
        <w:spacing w:after="80"/>
      </w:pPr>
      <w:r>
        <w:rPr>
          <w:rFonts w:ascii="Arial" w:cs="Arial" w:eastAsia="Arial" w:hAnsi="Arial"/>
          <w:b w:val="false"/>
          <w:bCs w:val="false"/>
          <w:i w:val="false"/>
          <w:iCs w:val="false"/>
          <w:sz w:val="20"/>
          <w:szCs w:val="20"/>
        </w:rPr>
        <w:t xml:space="preserve">2. Neue Subnetzmaske berechnen: Originale Maske + geliehene Bits</w:t>
      </w:r>
    </w:p>
    <w:p>
      <w:pPr>
        <w:spacing w:after="80"/>
      </w:pPr>
      <w:r>
        <w:rPr>
          <w:rFonts w:ascii="Arial" w:cs="Arial" w:eastAsia="Arial" w:hAnsi="Arial"/>
          <w:b w:val="false"/>
          <w:bCs w:val="false"/>
          <w:i w:val="false"/>
          <w:iCs w:val="false"/>
          <w:sz w:val="20"/>
          <w:szCs w:val="20"/>
        </w:rPr>
        <w:t xml:space="preserve">3. Schrittweite (Blockgröße) berechnen: 256 – Wert des letzten relevanten Oktetts der Maske</w:t>
      </w:r>
    </w:p>
    <w:p>
      <w:pPr>
        <w:spacing w:after="80"/>
      </w:pPr>
      <w:r>
        <w:rPr>
          <w:rFonts w:ascii="Arial" w:cs="Arial" w:eastAsia="Arial" w:hAnsi="Arial"/>
          <w:b w:val="false"/>
          <w:bCs w:val="false"/>
          <w:i w:val="false"/>
          <w:iCs w:val="false"/>
          <w:sz w:val="20"/>
          <w:szCs w:val="20"/>
        </w:rPr>
        <w:t xml:space="preserve">4. Subnetze auflisten: Netzadresse, erster Host, letzter Host, Broadcast</w:t>
      </w:r>
    </w:p>
    <w:p>
      <w:pPr>
        <w:spacing w:after="80"/>
      </w:pPr>
    </w:p>
    <w:p>
      <w:pPr>
        <w:spacing w:before="160" w:after="80"/>
      </w:pPr>
      <w:r>
        <w:rPr>
          <w:rFonts w:ascii="Arial" w:cs="Arial" w:eastAsia="Arial" w:hAnsi="Arial"/>
          <w:b/>
          <w:bCs/>
          <w:color w:val="1F4E79"/>
          <w:sz w:val="22"/>
          <w:szCs w:val="22"/>
        </w:rPr>
        <w:t xml:space="preserve">Rechenbeispiel</w:t>
      </w:r>
    </w:p>
    <w:p>
      <w:pPr>
        <w:spacing w:after="80"/>
      </w:pPr>
      <w:r>
        <w:rPr>
          <w:rFonts w:ascii="Arial" w:cs="Arial" w:eastAsia="Arial" w:hAnsi="Arial"/>
          <w:b/>
          <w:bCs/>
          <w:i w:val="false"/>
          <w:iCs w:val="false"/>
          <w:sz w:val="20"/>
          <w:szCs w:val="20"/>
        </w:rPr>
        <w:t xml:space="preserve">Gegeben: 192.168.10.0/24, benötigt: 4 Subnetze</w:t>
      </w:r>
    </w:p>
    <w:p>
      <w:pPr>
        <w:spacing w:after="80"/>
      </w:pPr>
      <w:r>
        <w:rPr>
          <w:rFonts w:ascii="Arial" w:cs="Arial" w:eastAsia="Arial" w:hAnsi="Arial"/>
          <w:b w:val="false"/>
          <w:bCs w:val="false"/>
          <w:i w:val="false"/>
          <w:iCs w:val="false"/>
          <w:sz w:val="20"/>
          <w:szCs w:val="20"/>
        </w:rPr>
        <w:t xml:space="preserve">Schritt 1: 4 Subnetze → 2² = 4 → 2 zusätzliche Bits</w:t>
      </w:r>
    </w:p>
    <w:p>
      <w:pPr>
        <w:spacing w:after="80"/>
      </w:pPr>
      <w:r>
        <w:rPr>
          <w:rFonts w:ascii="Arial" w:cs="Arial" w:eastAsia="Arial" w:hAnsi="Arial"/>
          <w:b w:val="false"/>
          <w:bCs w:val="false"/>
          <w:i w:val="false"/>
          <w:iCs w:val="false"/>
          <w:sz w:val="20"/>
          <w:szCs w:val="20"/>
        </w:rPr>
        <w:t xml:space="preserve">Schritt 2: /24 + 2 = /26 → Maske: 255.255.255.192</w:t>
      </w:r>
    </w:p>
    <w:p>
      <w:pPr>
        <w:spacing w:after="80"/>
      </w:pPr>
      <w:r>
        <w:rPr>
          <w:rFonts w:ascii="Arial" w:cs="Arial" w:eastAsia="Arial" w:hAnsi="Arial"/>
          <w:b w:val="false"/>
          <w:bCs w:val="false"/>
          <w:i w:val="false"/>
          <w:iCs w:val="false"/>
          <w:sz w:val="20"/>
          <w:szCs w:val="20"/>
        </w:rPr>
        <w:t xml:space="preserve">Schritt 3: Blockgröße: 256 – 192 = 64</w:t>
      </w:r>
    </w:p>
    <w:p>
      <w:pPr>
        <w:spacing w:after="80"/>
      </w:pPr>
      <w:r>
        <w:rPr>
          <w:rFonts w:ascii="Arial" w:cs="Arial" w:eastAsia="Arial" w:hAnsi="Arial"/>
          <w:b w:val="false"/>
          <w:bCs w:val="false"/>
          <w:i w:val="false"/>
          <w:iCs w:val="false"/>
          <w:sz w:val="20"/>
          <w:szCs w:val="20"/>
        </w:rPr>
        <w:t xml:space="preserve">Schritt 4: Hosts pro Subnetz: 2⁶ – 2 = 62</w:t>
      </w:r>
    </w:p>
    <w:p>
      <w:pPr>
        <w:spacing w:after="40"/>
      </w:pP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1200"/>
        <w:gridCol w:w="2400"/>
        <w:gridCol w:w="2800"/>
        <w:gridCol w:w="3226"/>
      </w:tblGrid>
      <w:tr>
        <w:tc>
          <w:tcPr>
            <w:tcW w:type="dxa" w:w="12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Subnetz</w:t>
            </w:r>
          </w:p>
        </w:tc>
        <w:tc>
          <w:tcPr>
            <w:tcW w:type="dxa" w:w="24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Netzadresse</w:t>
            </w:r>
          </w:p>
        </w:tc>
        <w:tc>
          <w:tcPr>
            <w:tcW w:type="dxa" w:w="28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Host-Bereich</w:t>
            </w:r>
          </w:p>
        </w:tc>
        <w:tc>
          <w:tcPr>
            <w:tcW w:type="dxa" w:w="3226"/>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Broadcast</w:t>
            </w:r>
          </w:p>
        </w:tc>
      </w:tr>
      <w:tr>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1</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192.168.10.0</w:t>
            </w:r>
          </w:p>
        </w:tc>
        <w:tc>
          <w:tcPr>
            <w:tcW w:type="dxa" w:w="28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192.168.10.1 – .62</w:t>
            </w:r>
          </w:p>
        </w:tc>
        <w:tc>
          <w:tcPr>
            <w:tcW w:type="dxa" w:w="32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192.168.10.63</w:t>
            </w:r>
          </w:p>
        </w:tc>
      </w:tr>
      <w:tr>
        <w:tc>
          <w:tcPr>
            <w:tcW w:type="dxa" w:w="1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2</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192.168.10.64</w:t>
            </w:r>
          </w:p>
        </w:tc>
        <w:tc>
          <w:tcPr>
            <w:tcW w:type="dxa" w:w="28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192.168.10.65 – .126</w:t>
            </w:r>
          </w:p>
        </w:tc>
        <w:tc>
          <w:tcPr>
            <w:tcW w:type="dxa" w:w="32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192.168.10.127</w:t>
            </w:r>
          </w:p>
        </w:tc>
      </w:tr>
      <w:tr>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3</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192.168.10.128</w:t>
            </w:r>
          </w:p>
        </w:tc>
        <w:tc>
          <w:tcPr>
            <w:tcW w:type="dxa" w:w="28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192.168.10.129 – .190</w:t>
            </w:r>
          </w:p>
        </w:tc>
        <w:tc>
          <w:tcPr>
            <w:tcW w:type="dxa" w:w="32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192.168.10.191</w:t>
            </w:r>
          </w:p>
        </w:tc>
      </w:tr>
      <w:tr>
        <w:tc>
          <w:tcPr>
            <w:tcW w:type="dxa" w:w="1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4</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192.168.10.192</w:t>
            </w:r>
          </w:p>
        </w:tc>
        <w:tc>
          <w:tcPr>
            <w:tcW w:type="dxa" w:w="28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192.168.10.193 – .254</w:t>
            </w:r>
          </w:p>
        </w:tc>
        <w:tc>
          <w:tcPr>
            <w:tcW w:type="dxa" w:w="32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192.168.10.255</w:t>
            </w:r>
          </w:p>
        </w:tc>
      </w:tr>
    </w:tbl>
    <w:p>
      <w:pPr>
        <w:spacing w:after="80"/>
      </w:pP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Subnetting ist ein Dauerbrenner in IHK-Prüfungen! Die Formel 2ⁿ – 2 für nutzbare Hosts und die Blockgröße (256 minus letztes Oktett) müssen sitzen.</w:t>
      </w:r>
    </w:p>
    <w:p>
      <w:pPr>
        <w:pBdr>
          <w:left w:val="single" w:color="FF9800" w:sz="12" w:space="8"/>
        </w:pBdr>
        <w:shd w:fill="FFF3E0" w:val="clear"/>
        <w:spacing w:before="80" w:after="80"/>
        <w:ind w:left="200"/>
      </w:pPr>
      <w:r>
        <w:rPr>
          <w:rFonts w:ascii="Arial" w:cs="Arial" w:eastAsia="Arial" w:hAnsi="Arial"/>
          <w:b/>
          <w:bCs/>
          <w:color w:val="E65100"/>
          <w:sz w:val="18"/>
          <w:szCs w:val="18"/>
        </w:rPr>
        <w:t xml:space="preserve">⚠ Achtung: </w:t>
      </w:r>
      <w:r>
        <w:rPr>
          <w:rFonts w:ascii="Arial" w:cs="Arial" w:eastAsia="Arial" w:hAnsi="Arial"/>
          <w:sz w:val="18"/>
          <w:szCs w:val="18"/>
        </w:rPr>
        <w:t xml:space="preserve">Netzadresse und Broadcast zählen nicht als nutzbare Hosts – daher immer 2 abziehen!</w:t>
      </w:r>
    </w:p>
    <w:p>
      <w:r>
        <w:br w:type="page"/>
      </w:r>
    </w:p>
    <w:p>
      <w:pPr>
        <w:pStyle w:val="Heading1"/>
      </w:pPr>
      <w:r>
        <w:rPr>
          <w:rFonts w:ascii="Arial" w:cs="Arial" w:eastAsia="Arial" w:hAnsi="Arial"/>
        </w:rPr>
        <w:t xml:space="preserve">3. IPv6-Adressierung</w:t>
      </w:r>
    </w:p>
    <w:p>
      <w:pPr>
        <w:spacing w:after="80"/>
      </w:pPr>
      <w:r>
        <w:rPr>
          <w:rFonts w:ascii="Arial" w:cs="Arial" w:eastAsia="Arial" w:hAnsi="Arial"/>
          <w:b w:val="false"/>
          <w:bCs w:val="false"/>
          <w:i w:val="false"/>
          <w:iCs w:val="false"/>
          <w:sz w:val="20"/>
          <w:szCs w:val="20"/>
        </w:rPr>
        <w:t xml:space="preserve">IPv6 verwendet 128-Bit-Adressen in hexadezimaler Schreibweise, getrennt durch Doppelpunkte in 8 Blöcken zu je 16 Bit.</w:t>
      </w:r>
    </w:p>
    <w:p>
      <w:pPr>
        <w:spacing w:after="80"/>
      </w:pPr>
      <w:r>
        <w:rPr>
          <w:rFonts w:ascii="Arial" w:cs="Arial" w:eastAsia="Arial" w:hAnsi="Arial"/>
          <w:b w:val="false"/>
          <w:bCs w:val="false"/>
          <w:i w:val="false"/>
          <w:iCs w:val="false"/>
          <w:sz w:val="20"/>
          <w:szCs w:val="20"/>
        </w:rPr>
        <w:t xml:space="preserve">Beispiel: 2001:0db8:0000:0000:0000:0000:0000:0001 → verkürzt: 2001:db8::1</w:t>
      </w:r>
    </w:p>
    <w:p>
      <w:pPr>
        <w:spacing w:after="40"/>
      </w:pPr>
    </w:p>
    <w:p>
      <w:pPr>
        <w:spacing w:before="160" w:after="80"/>
      </w:pPr>
      <w:r>
        <w:rPr>
          <w:rFonts w:ascii="Arial" w:cs="Arial" w:eastAsia="Arial" w:hAnsi="Arial"/>
          <w:b/>
          <w:bCs/>
          <w:color w:val="1F4E79"/>
          <w:sz w:val="22"/>
          <w:szCs w:val="22"/>
        </w:rPr>
        <w:t xml:space="preserve">Verkürzungsregeln</w:t>
      </w:r>
    </w:p>
    <w:p>
      <w:pPr>
        <w:spacing w:after="80"/>
      </w:pPr>
      <w:r>
        <w:rPr>
          <w:rFonts w:ascii="Arial" w:cs="Arial" w:eastAsia="Arial" w:hAnsi="Arial"/>
          <w:b w:val="false"/>
          <w:bCs w:val="false"/>
          <w:i w:val="false"/>
          <w:iCs w:val="false"/>
          <w:sz w:val="20"/>
          <w:szCs w:val="20"/>
        </w:rPr>
        <w:t xml:space="preserve">1. Führende Nullen innerhalb eines Blocks dürfen weggelassen werden (0db8 → db8)</w:t>
      </w:r>
    </w:p>
    <w:p>
      <w:pPr>
        <w:spacing w:after="80"/>
      </w:pPr>
      <w:r>
        <w:rPr>
          <w:rFonts w:ascii="Arial" w:cs="Arial" w:eastAsia="Arial" w:hAnsi="Arial"/>
          <w:b w:val="false"/>
          <w:bCs w:val="false"/>
          <w:i w:val="false"/>
          <w:iCs w:val="false"/>
          <w:sz w:val="20"/>
          <w:szCs w:val="20"/>
        </w:rPr>
        <w:t xml:space="preserve">2. Aufeinanderfolgende Blöcke mit nur Nullen dürfen einmalig durch :: ersetzt werden</w:t>
      </w:r>
    </w:p>
    <w:p>
      <w:pPr>
        <w:spacing w:after="80"/>
      </w:pPr>
    </w:p>
    <w:p>
      <w:pPr>
        <w:spacing w:before="160" w:after="80"/>
      </w:pPr>
      <w:r>
        <w:rPr>
          <w:rFonts w:ascii="Arial" w:cs="Arial" w:eastAsia="Arial" w:hAnsi="Arial"/>
          <w:b/>
          <w:bCs/>
          <w:color w:val="1F4E79"/>
          <w:sz w:val="22"/>
          <w:szCs w:val="22"/>
        </w:rPr>
        <w:t xml:space="preserve">Wichtige Adresstypen</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3200"/>
        <w:gridCol w:w="2400"/>
        <w:gridCol w:w="4026"/>
      </w:tblGrid>
      <w:tr>
        <w:tc>
          <w:tcPr>
            <w:tcW w:type="dxa" w:w="32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Typ</w:t>
            </w:r>
          </w:p>
        </w:tc>
        <w:tc>
          <w:tcPr>
            <w:tcW w:type="dxa" w:w="24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Präfix</w:t>
            </w:r>
          </w:p>
        </w:tc>
        <w:tc>
          <w:tcPr>
            <w:tcW w:type="dxa" w:w="4026"/>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Beschreibung</w:t>
            </w:r>
          </w:p>
        </w:tc>
      </w:tr>
      <w:tr>
        <w:tc>
          <w:tcPr>
            <w:tcW w:type="dxa" w:w="3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Link-Local</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fe80::/10</w:t>
            </w:r>
          </w:p>
        </w:tc>
        <w:tc>
          <w:tcPr>
            <w:tcW w:type="dxa" w:w="40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Nur im lokalen Netzwerksegment gültig, automatisch generiert</w:t>
            </w:r>
          </w:p>
        </w:tc>
      </w:tr>
      <w:tr>
        <w:tc>
          <w:tcPr>
            <w:tcW w:type="dxa" w:w="3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Global Unicast</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2000::/3</w:t>
            </w:r>
          </w:p>
        </w:tc>
        <w:tc>
          <w:tcPr>
            <w:tcW w:type="dxa" w:w="40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Weltweit routbare Adresse (entspricht öffentlicher IPv4)</w:t>
            </w:r>
          </w:p>
        </w:tc>
      </w:tr>
      <w:tr>
        <w:tc>
          <w:tcPr>
            <w:tcW w:type="dxa" w:w="3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Unique Local (ULA)</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fc00::/7 (fd00::/8)</w:t>
            </w:r>
          </w:p>
        </w:tc>
        <w:tc>
          <w:tcPr>
            <w:tcW w:type="dxa" w:w="40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Privater Bereich, nicht im Internet geroutet (wie RFC 1918)</w:t>
            </w:r>
          </w:p>
        </w:tc>
      </w:tr>
      <w:tr>
        <w:tc>
          <w:tcPr>
            <w:tcW w:type="dxa" w:w="3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Loopback</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w:t>
            </w:r>
          </w:p>
        </w:tc>
        <w:tc>
          <w:tcPr>
            <w:tcW w:type="dxa" w:w="40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Entspricht 127.0.0.1 in IPv4</w:t>
            </w:r>
          </w:p>
        </w:tc>
      </w:tr>
      <w:tr>
        <w:tc>
          <w:tcPr>
            <w:tcW w:type="dxa" w:w="3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Multicast</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ff00::/8</w:t>
            </w:r>
          </w:p>
        </w:tc>
        <w:tc>
          <w:tcPr>
            <w:tcW w:type="dxa" w:w="40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Ersetzt Broadcast (kein Broadcast in IPv6!)</w:t>
            </w:r>
          </w:p>
        </w:tc>
      </w:tr>
    </w:tbl>
    <w:p>
      <w:pPr>
        <w:spacing w:after="80"/>
      </w:pPr>
    </w:p>
    <w:p>
      <w:pPr>
        <w:spacing w:before="160" w:after="80"/>
      </w:pPr>
      <w:r>
        <w:rPr>
          <w:rFonts w:ascii="Arial" w:cs="Arial" w:eastAsia="Arial" w:hAnsi="Arial"/>
          <w:b/>
          <w:bCs/>
          <w:color w:val="1F4E79"/>
          <w:sz w:val="22"/>
          <w:szCs w:val="22"/>
        </w:rPr>
        <w:t xml:space="preserve">Wesentliche Unterschiede zu IPv4</w:t>
      </w:r>
    </w:p>
    <w:p>
      <w:pPr>
        <w:spacing w:after="80"/>
      </w:pPr>
      <w:r>
        <w:rPr>
          <w:rFonts w:ascii="Arial" w:cs="Arial" w:eastAsia="Arial" w:hAnsi="Arial"/>
          <w:b w:val="false"/>
          <w:bCs w:val="false"/>
          <w:i w:val="false"/>
          <w:iCs w:val="false"/>
          <w:sz w:val="20"/>
          <w:szCs w:val="20"/>
        </w:rPr>
        <w:t xml:space="preserve">Kein Broadcast – stattdessen Multicast und Anycast. Kein NAT nötig dank riesigem Adressraum. Autokonfiguration per SLAAC (Stateless Address Autoconfiguration) möglich – DHCP optional. IPsec ist im Standard integriert.</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IPv6 hat KEINEN Broadcast! Stattdessen wird Multicast verwendet. Das ist eine beliebte Fangfrage.</w:t>
      </w:r>
    </w:p>
    <w:p>
      <w:r>
        <w:br w:type="page"/>
      </w:r>
    </w:p>
    <w:p>
      <w:pPr>
        <w:pStyle w:val="Heading1"/>
      </w:pPr>
      <w:r>
        <w:rPr>
          <w:rFonts w:ascii="Arial" w:cs="Arial" w:eastAsia="Arial" w:hAnsi="Arial"/>
        </w:rPr>
        <w:t xml:space="preserve">4. DHCP (Dynamic Host Configuration Protocol)</w:t>
      </w:r>
    </w:p>
    <w:p>
      <w:pPr>
        <w:spacing w:after="80"/>
      </w:pPr>
      <w:r>
        <w:rPr>
          <w:rFonts w:ascii="Arial" w:cs="Arial" w:eastAsia="Arial" w:hAnsi="Arial"/>
          <w:b w:val="false"/>
          <w:bCs w:val="false"/>
          <w:i w:val="false"/>
          <w:iCs w:val="false"/>
          <w:sz w:val="20"/>
          <w:szCs w:val="20"/>
        </w:rPr>
        <w:t xml:space="preserve">DHCP vergibt automatisch IP-Adressen und weitere Netzwerkparameter (Subnetzmaske, Gateway, DNS-Server) an Clients. Port: 67 (Server) / 68 (Client), Protokoll: UDP.</w:t>
      </w:r>
    </w:p>
    <w:p>
      <w:pPr>
        <w:spacing w:after="40"/>
      </w:pPr>
    </w:p>
    <w:p>
      <w:pPr>
        <w:spacing w:before="160" w:after="80"/>
      </w:pPr>
      <w:r>
        <w:rPr>
          <w:rFonts w:ascii="Arial" w:cs="Arial" w:eastAsia="Arial" w:hAnsi="Arial"/>
          <w:b/>
          <w:bCs/>
          <w:color w:val="1F4E79"/>
          <w:sz w:val="22"/>
          <w:szCs w:val="22"/>
        </w:rPr>
        <w:t xml:space="preserve">DORA-Prinzip – Der Vergabeprozess</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1600"/>
        <w:gridCol w:w="1600"/>
        <w:gridCol w:w="6426"/>
      </w:tblGrid>
      <w:tr>
        <w:tc>
          <w:tcPr>
            <w:tcW w:type="dxa" w:w="16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Schritt</w:t>
            </w:r>
          </w:p>
        </w:tc>
        <w:tc>
          <w:tcPr>
            <w:tcW w:type="dxa" w:w="16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Typ</w:t>
            </w:r>
          </w:p>
        </w:tc>
        <w:tc>
          <w:tcPr>
            <w:tcW w:type="dxa" w:w="6426"/>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Beschreibung</w:t>
            </w:r>
          </w:p>
        </w:tc>
      </w:tr>
      <w:tr>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D – Discover</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Broadcast</w:t>
            </w:r>
          </w:p>
        </w:tc>
        <w:tc>
          <w:tcPr>
            <w:tcW w:type="dxa" w:w="64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Client sendet Broadcast-Anfrage ins Netz: „Gibt es einen DHCP-Server?“</w:t>
            </w:r>
          </w:p>
        </w:tc>
      </w:tr>
      <w:tr>
        <w:tc>
          <w:tcPr>
            <w:tcW w:type="dxa" w:w="1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O – Offer</w:t>
            </w:r>
          </w:p>
        </w:tc>
        <w:tc>
          <w:tcPr>
            <w:tcW w:type="dxa" w:w="1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Unicast/Broadcast</w:t>
            </w:r>
          </w:p>
        </w:tc>
        <w:tc>
          <w:tcPr>
            <w:tcW w:type="dxa" w:w="64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Server antwortet mit einem Adressangebot (IP, Maske, Gateway, DNS, Lease-Dauer)</w:t>
            </w:r>
          </w:p>
        </w:tc>
      </w:tr>
      <w:tr>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R – Request</w:t>
            </w:r>
          </w:p>
        </w:tc>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Broadcast</w:t>
            </w:r>
          </w:p>
        </w:tc>
        <w:tc>
          <w:tcPr>
            <w:tcW w:type="dxa" w:w="64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Client akzeptiert das Angebot und informiert alle Server (Broadcast, da andere Server ihr Angebot zurücknehmen müssen)</w:t>
            </w:r>
          </w:p>
        </w:tc>
      </w:tr>
      <w:tr>
        <w:tc>
          <w:tcPr>
            <w:tcW w:type="dxa" w:w="1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A – Acknowledge</w:t>
            </w:r>
          </w:p>
        </w:tc>
        <w:tc>
          <w:tcPr>
            <w:tcW w:type="dxa" w:w="1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Unicast</w:t>
            </w:r>
          </w:p>
        </w:tc>
        <w:tc>
          <w:tcPr>
            <w:tcW w:type="dxa" w:w="64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Server bestätigt die Vergabe. Client konfiguriert sich mit den erhaltenen Parametern.</w:t>
            </w:r>
          </w:p>
        </w:tc>
      </w:tr>
    </w:tbl>
    <w:p>
      <w:pPr>
        <w:spacing w:after="80"/>
      </w:pPr>
    </w:p>
    <w:p>
      <w:pPr>
        <w:spacing w:before="160" w:after="80"/>
      </w:pPr>
      <w:r>
        <w:rPr>
          <w:rFonts w:ascii="Arial" w:cs="Arial" w:eastAsia="Arial" w:hAnsi="Arial"/>
          <w:b/>
          <w:bCs/>
          <w:color w:val="1F4E79"/>
          <w:sz w:val="22"/>
          <w:szCs w:val="22"/>
        </w:rPr>
        <w:t xml:space="preserve">Wichtige DHCP-Begriffe</w:t>
      </w:r>
    </w:p>
    <w:p>
      <w:pPr>
        <w:spacing w:after="80"/>
      </w:pPr>
      <w:r>
        <w:rPr>
          <w:rFonts w:ascii="Arial" w:cs="Arial" w:eastAsia="Arial" w:hAnsi="Arial"/>
          <w:b w:val="false"/>
          <w:bCs w:val="false"/>
          <w:i w:val="false"/>
          <w:iCs w:val="false"/>
          <w:sz w:val="20"/>
          <w:szCs w:val="20"/>
        </w:rPr>
        <w:t xml:space="preserve">Lease-Zeit: Dauer, für die eine IP-Adresse gültig ist. Nach 50% der Lease-Zeit versucht der Client eine Verlängerung.</w:t>
      </w:r>
    </w:p>
    <w:p>
      <w:pPr>
        <w:spacing w:after="80"/>
      </w:pPr>
      <w:r>
        <w:rPr>
          <w:rFonts w:ascii="Arial" w:cs="Arial" w:eastAsia="Arial" w:hAnsi="Arial"/>
          <w:b w:val="false"/>
          <w:bCs w:val="false"/>
          <w:i w:val="false"/>
          <w:iCs w:val="false"/>
          <w:sz w:val="20"/>
          <w:szCs w:val="20"/>
        </w:rPr>
        <w:t xml:space="preserve">DHCP-Relay-Agent: Leitet DHCP-Anfragen über Subnetzgrenzen an einen zentralen DHCP-Server weiter (wichtig bei gerouteten Netzen).</w:t>
      </w:r>
    </w:p>
    <w:p>
      <w:pPr>
        <w:spacing w:after="80"/>
      </w:pPr>
      <w:r>
        <w:rPr>
          <w:rFonts w:ascii="Arial" w:cs="Arial" w:eastAsia="Arial" w:hAnsi="Arial"/>
          <w:b w:val="false"/>
          <w:bCs w:val="false"/>
          <w:i w:val="false"/>
          <w:iCs w:val="false"/>
          <w:sz w:val="20"/>
          <w:szCs w:val="20"/>
        </w:rPr>
        <w:t xml:space="preserve">Reservierung: Feste IP-Zuordnung anhand der MAC-Adresse des Clients.</w:t>
      </w:r>
    </w:p>
    <w:p>
      <w:pPr>
        <w:spacing w:after="80"/>
      </w:pPr>
      <w:r>
        <w:rPr>
          <w:rFonts w:ascii="Arial" w:cs="Arial" w:eastAsia="Arial" w:hAnsi="Arial"/>
          <w:b w:val="false"/>
          <w:bCs w:val="false"/>
          <w:i w:val="false"/>
          <w:iCs w:val="false"/>
          <w:sz w:val="20"/>
          <w:szCs w:val="20"/>
        </w:rPr>
        <w:t xml:space="preserve">Adresspool / Scope: Der Bereich, aus dem IP-Adressen vergeben werden.</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In der IHK-Prüfung: DORA auswendig können! Auch wissen, dass Discover und Request als Broadcast gesendet werden.</w:t>
      </w:r>
    </w:p>
    <w:p>
      <w:r>
        <w:br w:type="page"/>
      </w:r>
    </w:p>
    <w:p>
      <w:pPr>
        <w:pStyle w:val="Heading1"/>
      </w:pPr>
      <w:r>
        <w:rPr>
          <w:rFonts w:ascii="Arial" w:cs="Arial" w:eastAsia="Arial" w:hAnsi="Arial"/>
        </w:rPr>
        <w:t xml:space="preserve">5. DNS (Domain Name System)</w:t>
      </w:r>
    </w:p>
    <w:p>
      <w:pPr>
        <w:spacing w:after="80"/>
      </w:pPr>
      <w:r>
        <w:rPr>
          <w:rFonts w:ascii="Arial" w:cs="Arial" w:eastAsia="Arial" w:hAnsi="Arial"/>
          <w:b w:val="false"/>
          <w:bCs w:val="false"/>
          <w:i w:val="false"/>
          <w:iCs w:val="false"/>
          <w:sz w:val="20"/>
          <w:szCs w:val="20"/>
        </w:rPr>
        <w:t xml:space="preserve">DNS übersetzt Domainnamen (z. B. www.example.com) in IP-Adressen (z. B. 93.184.216.34). Es arbeitet hierarchisch und verteilt. Port: 53 (UDP für Anfragen, TCP für Zonentransfers).</w:t>
      </w:r>
    </w:p>
    <w:p>
      <w:pPr>
        <w:spacing w:after="40"/>
      </w:pPr>
    </w:p>
    <w:p>
      <w:pPr>
        <w:spacing w:before="160" w:after="80"/>
      </w:pPr>
      <w:r>
        <w:rPr>
          <w:rFonts w:ascii="Arial" w:cs="Arial" w:eastAsia="Arial" w:hAnsi="Arial"/>
          <w:b/>
          <w:bCs/>
          <w:color w:val="1F4E79"/>
          <w:sz w:val="22"/>
          <w:szCs w:val="22"/>
        </w:rPr>
        <w:t xml:space="preserve">DNS-Hierarchie</w:t>
      </w:r>
    </w:p>
    <w:p>
      <w:pPr>
        <w:spacing w:after="80"/>
      </w:pPr>
      <w:r>
        <w:rPr>
          <w:rFonts w:ascii="Arial" w:cs="Arial" w:eastAsia="Arial" w:hAnsi="Arial"/>
          <w:b w:val="false"/>
          <w:bCs w:val="false"/>
          <w:i w:val="false"/>
          <w:iCs w:val="false"/>
          <w:sz w:val="20"/>
          <w:szCs w:val="20"/>
        </w:rPr>
        <w:t xml:space="preserve">Root-Server („.“) → TLD-Server (.de, .com, .org) → Authoritative Nameserver (example.com) → Subdomain-Server (www.example.com)</w:t>
      </w:r>
    </w:p>
    <w:p>
      <w:pPr>
        <w:spacing w:after="80"/>
      </w:pPr>
    </w:p>
    <w:p>
      <w:pPr>
        <w:spacing w:before="160" w:after="80"/>
      </w:pPr>
      <w:r>
        <w:rPr>
          <w:rFonts w:ascii="Arial" w:cs="Arial" w:eastAsia="Arial" w:hAnsi="Arial"/>
          <w:b/>
          <w:bCs/>
          <w:color w:val="1F4E79"/>
          <w:sz w:val="22"/>
          <w:szCs w:val="22"/>
        </w:rPr>
        <w:t xml:space="preserve">Rekursive vs. Iterative Auflösung</w:t>
      </w:r>
    </w:p>
    <w:p>
      <w:pPr>
        <w:spacing w:after="80"/>
      </w:pPr>
      <w:r>
        <w:rPr>
          <w:rFonts w:ascii="Arial" w:cs="Arial" w:eastAsia="Arial" w:hAnsi="Arial"/>
          <w:b w:val="false"/>
          <w:bCs w:val="false"/>
          <w:i w:val="false"/>
          <w:iCs w:val="false"/>
          <w:sz w:val="20"/>
          <w:szCs w:val="20"/>
        </w:rPr>
        <w:t xml:space="preserve">Rekursiv: Der Client fragt seinen DNS-Server. Dieser übernimmt die gesamte Auflösung und liefert das Endergebnis zurück. Der Client muss nur eine Anfrage stellen.</w:t>
      </w:r>
    </w:p>
    <w:p>
      <w:pPr>
        <w:spacing w:after="80"/>
      </w:pPr>
      <w:r>
        <w:rPr>
          <w:rFonts w:ascii="Arial" w:cs="Arial" w:eastAsia="Arial" w:hAnsi="Arial"/>
          <w:b w:val="false"/>
          <w:bCs w:val="false"/>
          <w:i w:val="false"/>
          <w:iCs w:val="false"/>
          <w:sz w:val="20"/>
          <w:szCs w:val="20"/>
        </w:rPr>
        <w:t xml:space="preserve">Iterativ: Der DNS-Server liefert keine fertige Antwort, sondern verweist auf den nächsten zuständigen Server. Der anfragende Server muss selbst Schritt für Schritt weiter fragen.</w:t>
      </w:r>
    </w:p>
    <w:p>
      <w:pPr>
        <w:spacing w:after="80"/>
      </w:pPr>
      <w:r>
        <w:rPr>
          <w:rFonts w:ascii="Arial" w:cs="Arial" w:eastAsia="Arial" w:hAnsi="Arial"/>
          <w:b w:val="false"/>
          <w:bCs w:val="false"/>
          <w:i w:val="false"/>
          <w:iCs w:val="false"/>
          <w:sz w:val="20"/>
          <w:szCs w:val="20"/>
        </w:rPr>
        <w:t xml:space="preserve">In der Praxis: Client → rekursiv an lokalen Resolver → dieser fragt iterativ die Hierarchie ab.</w:t>
      </w:r>
    </w:p>
    <w:p>
      <w:pPr>
        <w:spacing w:after="80"/>
      </w:pPr>
    </w:p>
    <w:p>
      <w:pPr>
        <w:spacing w:before="160" w:after="80"/>
      </w:pPr>
      <w:r>
        <w:rPr>
          <w:rFonts w:ascii="Arial" w:cs="Arial" w:eastAsia="Arial" w:hAnsi="Arial"/>
          <w:b/>
          <w:bCs/>
          <w:color w:val="1F4E79"/>
          <w:sz w:val="22"/>
          <w:szCs w:val="22"/>
        </w:rPr>
        <w:t xml:space="preserve">Wichtige DNS-Record-Typen</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1600"/>
        <w:gridCol w:w="8026"/>
      </w:tblGrid>
      <w:tr>
        <w:tc>
          <w:tcPr>
            <w:tcW w:type="dxa" w:w="16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Record</w:t>
            </w:r>
          </w:p>
        </w:tc>
        <w:tc>
          <w:tcPr>
            <w:tcW w:type="dxa" w:w="8026"/>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Funktion</w:t>
            </w:r>
          </w:p>
        </w:tc>
      </w:tr>
      <w:tr>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A</w:t>
            </w:r>
          </w:p>
        </w:tc>
        <w:tc>
          <w:tcPr>
            <w:tcW w:type="dxa" w:w="80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Ordnet einem Hostnamen eine IPv4-Adresse zu</w:t>
            </w:r>
          </w:p>
        </w:tc>
      </w:tr>
      <w:tr>
        <w:tc>
          <w:tcPr>
            <w:tcW w:type="dxa" w:w="1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AAAA</w:t>
            </w:r>
          </w:p>
        </w:tc>
        <w:tc>
          <w:tcPr>
            <w:tcW w:type="dxa" w:w="80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Ordnet einem Hostnamen eine IPv6-Adresse zu</w:t>
            </w:r>
          </w:p>
        </w:tc>
      </w:tr>
      <w:tr>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MX</w:t>
            </w:r>
          </w:p>
        </w:tc>
        <w:tc>
          <w:tcPr>
            <w:tcW w:type="dxa" w:w="80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Mail Exchange – zeigt auf den Mailserver einer Domain</w:t>
            </w:r>
          </w:p>
        </w:tc>
      </w:tr>
      <w:tr>
        <w:tc>
          <w:tcPr>
            <w:tcW w:type="dxa" w:w="1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CNAME</w:t>
            </w:r>
          </w:p>
        </w:tc>
        <w:tc>
          <w:tcPr>
            <w:tcW w:type="dxa" w:w="80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Canonical Name – Alias für einen anderen Hostnamen</w:t>
            </w:r>
          </w:p>
        </w:tc>
      </w:tr>
      <w:tr>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PTR</w:t>
            </w:r>
          </w:p>
        </w:tc>
        <w:tc>
          <w:tcPr>
            <w:tcW w:type="dxa" w:w="80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Pointer – Reverse-Lookup (IP → Name)</w:t>
            </w:r>
          </w:p>
        </w:tc>
      </w:tr>
      <w:tr>
        <w:tc>
          <w:tcPr>
            <w:tcW w:type="dxa" w:w="1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NS</w:t>
            </w:r>
          </w:p>
        </w:tc>
        <w:tc>
          <w:tcPr>
            <w:tcW w:type="dxa" w:w="80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Nameserver – verweist auf den zuständigen DNS-Server einer Zone</w:t>
            </w:r>
          </w:p>
        </w:tc>
      </w:tr>
      <w:tr>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SOA</w:t>
            </w:r>
          </w:p>
        </w:tc>
        <w:tc>
          <w:tcPr>
            <w:tcW w:type="dxa" w:w="80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Start of Authority – Zoneninfos (Seriennummer, Refresh-Intervall)</w:t>
            </w:r>
          </w:p>
        </w:tc>
      </w:tr>
      <w:tr>
        <w:tc>
          <w:tcPr>
            <w:tcW w:type="dxa" w:w="1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TXT</w:t>
            </w:r>
          </w:p>
        </w:tc>
        <w:tc>
          <w:tcPr>
            <w:tcW w:type="dxa" w:w="80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Textinformationen (z. B. SPF-Records für E-Mail-Validierung)</w:t>
            </w:r>
          </w:p>
        </w:tc>
      </w:tr>
      <w:tr>
        <w:tc>
          <w:tcPr>
            <w:tcW w:type="dxa" w:w="1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SRV</w:t>
            </w:r>
          </w:p>
        </w:tc>
        <w:tc>
          <w:tcPr>
            <w:tcW w:type="dxa" w:w="80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Service – zeigt auf Server für bestimmte Dienste (z. B. Active Directory)</w:t>
            </w:r>
          </w:p>
        </w:tc>
      </w:tr>
    </w:tbl>
    <w:p>
      <w:pPr>
        <w:spacing w:after="80"/>
      </w:pPr>
    </w:p>
    <w:p>
      <w:pPr>
        <w:spacing w:before="160" w:after="80"/>
      </w:pPr>
      <w:r>
        <w:rPr>
          <w:rFonts w:ascii="Arial" w:cs="Arial" w:eastAsia="Arial" w:hAnsi="Arial"/>
          <w:b/>
          <w:bCs/>
          <w:color w:val="1F4E79"/>
          <w:sz w:val="22"/>
          <w:szCs w:val="22"/>
        </w:rPr>
        <w:t xml:space="preserve">TTL (Time to Live)</w:t>
      </w:r>
    </w:p>
    <w:p>
      <w:pPr>
        <w:spacing w:after="80"/>
      </w:pPr>
      <w:r>
        <w:rPr>
          <w:rFonts w:ascii="Arial" w:cs="Arial" w:eastAsia="Arial" w:hAnsi="Arial"/>
          <w:b w:val="false"/>
          <w:bCs w:val="false"/>
          <w:i w:val="false"/>
          <w:iCs w:val="false"/>
          <w:sz w:val="20"/>
          <w:szCs w:val="20"/>
        </w:rPr>
        <w:t xml:space="preserve">Die TTL gibt an, wie lange ein DNS-Eintrag im Cache gespeichert werden darf (in Sekunden). Nach Ablauf muss eine neue Anfrage gestellt werden. Kurze TTL = schnellere Änderungen, mehr DNS-Traffic. Lange TTL = weniger Traffic, aber Änderungen dauern länger.</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A-Record (IPv4) und AAAA-Record (IPv6) verwechseln Prüflinge häufig. MX ist immer für E-Mail, CNAME ist ein Alias.</w:t>
      </w:r>
    </w:p>
    <w:p>
      <w:r>
        <w:br w:type="page"/>
      </w:r>
    </w:p>
    <w:p>
      <w:pPr>
        <w:pStyle w:val="Heading1"/>
      </w:pPr>
      <w:r>
        <w:rPr>
          <w:rFonts w:ascii="Arial" w:cs="Arial" w:eastAsia="Arial" w:hAnsi="Arial"/>
        </w:rPr>
        <w:t xml:space="preserve">6. Routing</w:t>
      </w:r>
    </w:p>
    <w:p>
      <w:pPr>
        <w:spacing w:after="80"/>
      </w:pPr>
      <w:r>
        <w:rPr>
          <w:rFonts w:ascii="Arial" w:cs="Arial" w:eastAsia="Arial" w:hAnsi="Arial"/>
          <w:b w:val="false"/>
          <w:bCs w:val="false"/>
          <w:i w:val="false"/>
          <w:iCs w:val="false"/>
          <w:sz w:val="20"/>
          <w:szCs w:val="20"/>
        </w:rPr>
        <w:t xml:space="preserve">Routing beschreibt die Wegewahl für Datenpakete zwischen verschiedenen Netzwerken. Ein Router arbeitet auf OSI-Schicht 3 und leitet Pakete anhand der Routing-Tabelle weiter.</w:t>
      </w:r>
    </w:p>
    <w:p>
      <w:pPr>
        <w:spacing w:after="40"/>
      </w:pPr>
    </w:p>
    <w:p>
      <w:pPr>
        <w:spacing w:before="160" w:after="80"/>
      </w:pPr>
      <w:r>
        <w:rPr>
          <w:rFonts w:ascii="Arial" w:cs="Arial" w:eastAsia="Arial" w:hAnsi="Arial"/>
          <w:b/>
          <w:bCs/>
          <w:color w:val="1F4E79"/>
          <w:sz w:val="22"/>
          <w:szCs w:val="22"/>
        </w:rPr>
        <w:t xml:space="preserve">Statisches vs. Dynamisches Routing</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2000"/>
        <w:gridCol w:w="3813"/>
        <w:gridCol w:w="3813"/>
      </w:tblGrid>
      <w:tr>
        <w:tc>
          <w:tcPr>
            <w:tcW w:type="dxa" w:w="20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
            </w:r>
          </w:p>
        </w:tc>
        <w:tc>
          <w:tcPr>
            <w:tcW w:type="dxa" w:w="3813"/>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Statisches Routing</w:t>
            </w:r>
          </w:p>
        </w:tc>
        <w:tc>
          <w:tcPr>
            <w:tcW w:type="dxa" w:w="3813"/>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Dynamisches Routing</w:t>
            </w:r>
          </w:p>
        </w:tc>
      </w:tr>
      <w:tr>
        <w:tc>
          <w:tcPr>
            <w:tcW w:type="dxa" w:w="20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Konfiguration</w:t>
            </w:r>
          </w:p>
        </w:tc>
        <w:tc>
          <w:tcPr>
            <w:tcW w:type="dxa" w:w="38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Manuell durch Administrator</w:t>
            </w:r>
          </w:p>
        </w:tc>
        <w:tc>
          <w:tcPr>
            <w:tcW w:type="dxa" w:w="38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Automatisch durch Routing-Protokolle</w:t>
            </w:r>
          </w:p>
        </w:tc>
      </w:tr>
      <w:tr>
        <w:tc>
          <w:tcPr>
            <w:tcW w:type="dxa" w:w="20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Anpassung</w:t>
            </w:r>
          </w:p>
        </w:tc>
        <w:tc>
          <w:tcPr>
            <w:tcW w:type="dxa" w:w="38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Manuell bei Änderungen</w:t>
            </w:r>
          </w:p>
        </w:tc>
        <w:tc>
          <w:tcPr>
            <w:tcW w:type="dxa" w:w="38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Automatische Anpassung bei Topologieänderungen</w:t>
            </w:r>
          </w:p>
        </w:tc>
      </w:tr>
      <w:tr>
        <w:tc>
          <w:tcPr>
            <w:tcW w:type="dxa" w:w="20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Skalierung</w:t>
            </w:r>
          </w:p>
        </w:tc>
        <w:tc>
          <w:tcPr>
            <w:tcW w:type="dxa" w:w="38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Geeignet für kleine Netze</w:t>
            </w:r>
          </w:p>
        </w:tc>
        <w:tc>
          <w:tcPr>
            <w:tcW w:type="dxa" w:w="38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Geeignet für große, komplexe Netze</w:t>
            </w:r>
          </w:p>
        </w:tc>
      </w:tr>
      <w:tr>
        <w:tc>
          <w:tcPr>
            <w:tcW w:type="dxa" w:w="20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Vorteil</w:t>
            </w:r>
          </w:p>
        </w:tc>
        <w:tc>
          <w:tcPr>
            <w:tcW w:type="dxa" w:w="38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Einfach, sicher, kein Overhead</w:t>
            </w:r>
          </w:p>
        </w:tc>
        <w:tc>
          <w:tcPr>
            <w:tcW w:type="dxa" w:w="38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Flexibel, reagiert auf Ausfälle</w:t>
            </w:r>
          </w:p>
        </w:tc>
      </w:tr>
      <w:tr>
        <w:tc>
          <w:tcPr>
            <w:tcW w:type="dxa" w:w="20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Beispiel</w:t>
            </w:r>
          </w:p>
        </w:tc>
        <w:tc>
          <w:tcPr>
            <w:tcW w:type="dxa" w:w="38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Default Route, feste Einträge</w:t>
            </w:r>
          </w:p>
        </w:tc>
        <w:tc>
          <w:tcPr>
            <w:tcW w:type="dxa" w:w="38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OSPF, RIP, BGP</w:t>
            </w:r>
          </w:p>
        </w:tc>
      </w:tr>
    </w:tbl>
    <w:p>
      <w:pPr>
        <w:spacing w:after="80"/>
      </w:pPr>
    </w:p>
    <w:p>
      <w:pPr>
        <w:spacing w:before="160" w:after="80"/>
      </w:pPr>
      <w:r>
        <w:rPr>
          <w:rFonts w:ascii="Arial" w:cs="Arial" w:eastAsia="Arial" w:hAnsi="Arial"/>
          <w:b/>
          <w:bCs/>
          <w:color w:val="1F4E79"/>
          <w:sz w:val="22"/>
          <w:szCs w:val="22"/>
        </w:rPr>
        <w:t xml:space="preserve">Routing-Protokolle</w:t>
      </w:r>
    </w:p>
    <w:p>
      <w:pPr>
        <w:spacing w:after="80"/>
      </w:pPr>
      <w:r>
        <w:rPr>
          <w:rFonts w:ascii="Arial" w:cs="Arial" w:eastAsia="Arial" w:hAnsi="Arial"/>
          <w:b w:val="false"/>
          <w:bCs w:val="false"/>
          <w:i w:val="false"/>
          <w:iCs w:val="false"/>
          <w:sz w:val="20"/>
          <w:szCs w:val="20"/>
        </w:rPr>
        <w:t xml:space="preserve">IGP (Interior Gateway Protocol) – innerhalb eines autonomen Systems: OSPF (Link-State), RIP (Distance-Vector)</w:t>
      </w:r>
    </w:p>
    <w:p>
      <w:pPr>
        <w:spacing w:after="80"/>
      </w:pPr>
      <w:r>
        <w:rPr>
          <w:rFonts w:ascii="Arial" w:cs="Arial" w:eastAsia="Arial" w:hAnsi="Arial"/>
          <w:b w:val="false"/>
          <w:bCs w:val="false"/>
          <w:i w:val="false"/>
          <w:iCs w:val="false"/>
          <w:sz w:val="20"/>
          <w:szCs w:val="20"/>
        </w:rPr>
        <w:t xml:space="preserve">EGP (Exterior Gateway Protocol) – zwischen autonomen Systemen: BGP (Border Gateway Protocol, das Routing-Protokoll des Internets)</w:t>
      </w:r>
    </w:p>
    <w:p>
      <w:pPr>
        <w:spacing w:after="80"/>
      </w:pPr>
    </w:p>
    <w:p>
      <w:pPr>
        <w:spacing w:before="160" w:after="80"/>
      </w:pPr>
      <w:r>
        <w:rPr>
          <w:rFonts w:ascii="Arial" w:cs="Arial" w:eastAsia="Arial" w:hAnsi="Arial"/>
          <w:b/>
          <w:bCs/>
          <w:color w:val="1F4E79"/>
          <w:sz w:val="22"/>
          <w:szCs w:val="22"/>
        </w:rPr>
        <w:t xml:space="preserve">Default Gateway</w:t>
      </w:r>
    </w:p>
    <w:p>
      <w:pPr>
        <w:spacing w:after="80"/>
      </w:pPr>
      <w:r>
        <w:rPr>
          <w:rFonts w:ascii="Arial" w:cs="Arial" w:eastAsia="Arial" w:hAnsi="Arial"/>
          <w:b w:val="false"/>
          <w:bCs w:val="false"/>
          <w:i w:val="false"/>
          <w:iCs w:val="false"/>
          <w:sz w:val="20"/>
          <w:szCs w:val="20"/>
        </w:rPr>
        <w:t xml:space="preserve">Das Default Gateway ist die IP-Adresse des Routers, an den ein Client alle Pakete sendet, die nicht für das lokale Subnetz bestimmt sind. Ohne Default Gateway kann ein Client nur innerhalb seines eigenen Subnetzes kommunizieren.</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Routing-Tabelle lesen können! Netzadresse, Subnetzmaske, Next Hop, Interface – das kommt in Szenario-Aufgaben.</w:t>
      </w:r>
    </w:p>
    <w:p>
      <w:r>
        <w:br w:type="page"/>
      </w:r>
    </w:p>
    <w:p>
      <w:pPr>
        <w:pStyle w:val="Heading1"/>
      </w:pPr>
      <w:r>
        <w:rPr>
          <w:rFonts w:ascii="Arial" w:cs="Arial" w:eastAsia="Arial" w:hAnsi="Arial"/>
        </w:rPr>
        <w:t xml:space="preserve">7. VLAN (Virtual Local Area Network)</w:t>
      </w:r>
    </w:p>
    <w:p>
      <w:pPr>
        <w:spacing w:after="80"/>
      </w:pPr>
      <w:r>
        <w:rPr>
          <w:rFonts w:ascii="Arial" w:cs="Arial" w:eastAsia="Arial" w:hAnsi="Arial"/>
          <w:b w:val="false"/>
          <w:bCs w:val="false"/>
          <w:i w:val="false"/>
          <w:iCs w:val="false"/>
          <w:sz w:val="20"/>
          <w:szCs w:val="20"/>
        </w:rPr>
        <w:t xml:space="preserve">Ein VLAN teilt ein physisches Netzwerk logisch in mehrere getrennte Broadcast-Domänen auf. Geräte in verschiedenen VLANs können ohne Router nicht miteinander kommunizieren.</w:t>
      </w:r>
    </w:p>
    <w:p>
      <w:pPr>
        <w:spacing w:after="40"/>
      </w:pPr>
    </w:p>
    <w:p>
      <w:pPr>
        <w:spacing w:before="160" w:after="80"/>
      </w:pPr>
      <w:r>
        <w:rPr>
          <w:rFonts w:ascii="Arial" w:cs="Arial" w:eastAsia="Arial" w:hAnsi="Arial"/>
          <w:b/>
          <w:bCs/>
          <w:color w:val="1F4E79"/>
          <w:sz w:val="22"/>
          <w:szCs w:val="22"/>
        </w:rPr>
        <w:t xml:space="preserve">Vorteile von VLANs</w:t>
      </w:r>
    </w:p>
    <w:p>
      <w:pPr>
        <w:spacing w:after="80"/>
      </w:pPr>
      <w:r>
        <w:rPr>
          <w:rFonts w:ascii="Arial" w:cs="Arial" w:eastAsia="Arial" w:hAnsi="Arial"/>
          <w:b w:val="false"/>
          <w:bCs w:val="false"/>
          <w:i w:val="false"/>
          <w:iCs w:val="false"/>
          <w:sz w:val="20"/>
          <w:szCs w:val="20"/>
        </w:rPr>
        <w:t xml:space="preserve">Sicherheit: Abteilungen logisch trennen, ohne separate Hardware. Broadcast-Reduktion: Broadcasts bleiben im VLAN. Flexibilität: Geräte können unabhängig vom Standort einem VLAN zugeordnet werden. Performance: Weniger unnötiger Broadcast-Traffic.</w:t>
      </w:r>
    </w:p>
    <w:p>
      <w:pPr>
        <w:spacing w:after="80"/>
      </w:pPr>
    </w:p>
    <w:p>
      <w:pPr>
        <w:spacing w:before="160" w:after="80"/>
      </w:pPr>
      <w:r>
        <w:rPr>
          <w:rFonts w:ascii="Arial" w:cs="Arial" w:eastAsia="Arial" w:hAnsi="Arial"/>
          <w:b/>
          <w:bCs/>
          <w:color w:val="1F4E79"/>
          <w:sz w:val="22"/>
          <w:szCs w:val="22"/>
        </w:rPr>
        <w:t xml:space="preserve">Access-Port vs. Trunk-Port</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2400"/>
        <w:gridCol w:w="7226"/>
      </w:tblGrid>
      <w:tr>
        <w:tc>
          <w:tcPr>
            <w:tcW w:type="dxa" w:w="24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Port-Typ</w:t>
            </w:r>
          </w:p>
        </w:tc>
        <w:tc>
          <w:tcPr>
            <w:tcW w:type="dxa" w:w="7226"/>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Beschreibung</w:t>
            </w:r>
          </w:p>
        </w:tc>
      </w:tr>
      <w:tr>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Access-Port</w:t>
            </w:r>
          </w:p>
        </w:tc>
        <w:tc>
          <w:tcPr>
            <w:tcW w:type="dxa" w:w="72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Gehört zu genau einem VLAN. Wird für Endgeräte (PC, Drucker) verwendet. Frames werden ohne VLAN-Tag weitergeleitet.</w:t>
            </w:r>
          </w:p>
        </w:tc>
      </w:tr>
      <w:tr>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Trunk-Port</w:t>
            </w:r>
          </w:p>
        </w:tc>
        <w:tc>
          <w:tcPr>
            <w:tcW w:type="dxa" w:w="72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Transportiert Daten mehrerer VLANs gleichzeitig. Wird für Switch-zu-Switch- oder Switch-zu-Router-Verbindungen verwendet. Frames erhalten ein VLAN-Tag nach IEEE 802.1Q.</w:t>
            </w:r>
          </w:p>
        </w:tc>
      </w:tr>
    </w:tbl>
    <w:p>
      <w:pPr>
        <w:spacing w:after="80"/>
      </w:pPr>
    </w:p>
    <w:p>
      <w:pPr>
        <w:spacing w:before="160" w:after="80"/>
      </w:pPr>
      <w:r>
        <w:rPr>
          <w:rFonts w:ascii="Arial" w:cs="Arial" w:eastAsia="Arial" w:hAnsi="Arial"/>
          <w:b/>
          <w:bCs/>
          <w:color w:val="1F4E79"/>
          <w:sz w:val="22"/>
          <w:szCs w:val="22"/>
        </w:rPr>
        <w:t xml:space="preserve">IEEE 802.1Q – VLAN-Tagging</w:t>
      </w:r>
    </w:p>
    <w:p>
      <w:pPr>
        <w:spacing w:after="80"/>
      </w:pPr>
      <w:r>
        <w:rPr>
          <w:rFonts w:ascii="Arial" w:cs="Arial" w:eastAsia="Arial" w:hAnsi="Arial"/>
          <w:b w:val="false"/>
          <w:bCs w:val="false"/>
          <w:i w:val="false"/>
          <w:iCs w:val="false"/>
          <w:sz w:val="20"/>
          <w:szCs w:val="20"/>
        </w:rPr>
        <w:t xml:space="preserve">Beim Tagging wird dem Ethernet-Frame ein 4-Byte-Tag hinzugefügt, das die VLAN-ID (12 Bit, Werte 1–4094) enthält. Das sogenannte Native VLAN wird ohne Tag über den Trunk gesendet (Standard: VLAN 1).</w:t>
      </w:r>
    </w:p>
    <w:p>
      <w:pPr>
        <w:spacing w:after="80"/>
      </w:pPr>
    </w:p>
    <w:p>
      <w:pPr>
        <w:spacing w:before="160" w:after="80"/>
      </w:pPr>
      <w:r>
        <w:rPr>
          <w:rFonts w:ascii="Arial" w:cs="Arial" w:eastAsia="Arial" w:hAnsi="Arial"/>
          <w:b/>
          <w:bCs/>
          <w:color w:val="1F4E79"/>
          <w:sz w:val="22"/>
          <w:szCs w:val="22"/>
        </w:rPr>
        <w:t xml:space="preserve">Inter-VLAN-Routing</w:t>
      </w:r>
    </w:p>
    <w:p>
      <w:pPr>
        <w:spacing w:after="80"/>
      </w:pPr>
      <w:r>
        <w:rPr>
          <w:rFonts w:ascii="Arial" w:cs="Arial" w:eastAsia="Arial" w:hAnsi="Arial"/>
          <w:b w:val="false"/>
          <w:bCs w:val="false"/>
          <w:i w:val="false"/>
          <w:iCs w:val="false"/>
          <w:sz w:val="20"/>
          <w:szCs w:val="20"/>
        </w:rPr>
        <w:t xml:space="preserve">Damit Geräte in verschiedenen VLANs kommunizieren können, wird ein Router oder ein Layer-3-Switch benötigt. Möglichkeit: „Router on a Stick“ – ein Router mit Subinterfaces auf einem Trunk-Port.</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802.1Q ist DAS Standard-Protokoll für VLAN-Tagging. In der Prüfung: Access = ein VLAN, Trunk = mehrere VLANs.</w:t>
      </w:r>
    </w:p>
    <w:p>
      <w:r>
        <w:br w:type="page"/>
      </w:r>
    </w:p>
    <w:p>
      <w:pPr>
        <w:pStyle w:val="Heading1"/>
      </w:pPr>
      <w:r>
        <w:rPr>
          <w:rFonts w:ascii="Arial" w:cs="Arial" w:eastAsia="Arial" w:hAnsi="Arial"/>
        </w:rPr>
        <w:t xml:space="preserve">8. VPN &amp; SSL/TLS</w:t>
      </w:r>
    </w:p>
    <w:p>
      <w:pPr>
        <w:pStyle w:val="Heading2"/>
      </w:pPr>
      <w:r>
        <w:rPr>
          <w:rFonts w:ascii="Arial" w:cs="Arial" w:eastAsia="Arial" w:hAnsi="Arial"/>
        </w:rPr>
        <w:t xml:space="preserve">8.1 VPN (Virtual Private Network)</w:t>
      </w:r>
    </w:p>
    <w:p>
      <w:pPr>
        <w:spacing w:after="80"/>
      </w:pPr>
      <w:r>
        <w:rPr>
          <w:rFonts w:ascii="Arial" w:cs="Arial" w:eastAsia="Arial" w:hAnsi="Arial"/>
          <w:b w:val="false"/>
          <w:bCs w:val="false"/>
          <w:i w:val="false"/>
          <w:iCs w:val="false"/>
          <w:sz w:val="20"/>
          <w:szCs w:val="20"/>
        </w:rPr>
        <w:t xml:space="preserve">Ein VPN erstellt einen verschlüsselten „Tunnel“ durch ein unsicheres Netzwerk (z. B. Internet), um sichere Kommunikation zu ermöglichen.</w:t>
      </w:r>
    </w:p>
    <w:p>
      <w:pPr>
        <w:spacing w:after="40"/>
      </w:pPr>
    </w:p>
    <w:p>
      <w:pPr>
        <w:spacing w:before="160" w:after="80"/>
      </w:pPr>
      <w:r>
        <w:rPr>
          <w:rFonts w:ascii="Arial" w:cs="Arial" w:eastAsia="Arial" w:hAnsi="Arial"/>
          <w:b/>
          <w:bCs/>
          <w:color w:val="1F4E79"/>
          <w:sz w:val="22"/>
          <w:szCs w:val="22"/>
        </w:rPr>
        <w:t xml:space="preserve">VPN-Typen</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2600"/>
        <w:gridCol w:w="3513"/>
        <w:gridCol w:w="3513"/>
      </w:tblGrid>
      <w:tr>
        <w:tc>
          <w:tcPr>
            <w:tcW w:type="dxa" w:w="26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
            </w:r>
          </w:p>
        </w:tc>
        <w:tc>
          <w:tcPr>
            <w:tcW w:type="dxa" w:w="3513"/>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Site-to-Site</w:t>
            </w:r>
          </w:p>
        </w:tc>
        <w:tc>
          <w:tcPr>
            <w:tcW w:type="dxa" w:w="3513"/>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Client-to-Site (Remote Access)</w:t>
            </w:r>
          </w:p>
        </w:tc>
      </w:tr>
      <w:tr>
        <w:tc>
          <w:tcPr>
            <w:tcW w:type="dxa" w:w="2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Verbindung</w:t>
            </w:r>
          </w:p>
        </w:tc>
        <w:tc>
          <w:tcPr>
            <w:tcW w:type="dxa" w:w="35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Zwei Netzwerke (Standorte)</w:t>
            </w:r>
          </w:p>
        </w:tc>
        <w:tc>
          <w:tcPr>
            <w:tcW w:type="dxa" w:w="35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Einzelner Client → Firmennetz</w:t>
            </w:r>
          </w:p>
        </w:tc>
      </w:tr>
      <w:tr>
        <w:tc>
          <w:tcPr>
            <w:tcW w:type="dxa" w:w="2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Einsatz</w:t>
            </w:r>
          </w:p>
        </w:tc>
        <w:tc>
          <w:tcPr>
            <w:tcW w:type="dxa" w:w="35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Filialen anbinden</w:t>
            </w:r>
          </w:p>
        </w:tc>
        <w:tc>
          <w:tcPr>
            <w:tcW w:type="dxa" w:w="35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Homeoffice, mobiles Arbeiten</w:t>
            </w:r>
          </w:p>
        </w:tc>
      </w:tr>
      <w:tr>
        <w:tc>
          <w:tcPr>
            <w:tcW w:type="dxa" w:w="2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Geräte</w:t>
            </w:r>
          </w:p>
        </w:tc>
        <w:tc>
          <w:tcPr>
            <w:tcW w:type="dxa" w:w="35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Router/Firewall an beiden Enden</w:t>
            </w:r>
          </w:p>
        </w:tc>
        <w:tc>
          <w:tcPr>
            <w:tcW w:type="dxa" w:w="35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VPN-Software auf Client + Server/Gateway</w:t>
            </w:r>
          </w:p>
        </w:tc>
      </w:tr>
      <w:tr>
        <w:tc>
          <w:tcPr>
            <w:tcW w:type="dxa" w:w="2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Protokolle</w:t>
            </w:r>
          </w:p>
        </w:tc>
        <w:tc>
          <w:tcPr>
            <w:tcW w:type="dxa" w:w="35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IPsec (Tunnel Mode)</w:t>
            </w:r>
          </w:p>
        </w:tc>
        <w:tc>
          <w:tcPr>
            <w:tcW w:type="dxa" w:w="35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OpenVPN (SSL), IPsec, WireGuard</w:t>
            </w:r>
          </w:p>
        </w:tc>
      </w:tr>
    </w:tbl>
    <w:p>
      <w:pPr>
        <w:spacing w:after="80"/>
      </w:pPr>
    </w:p>
    <w:p>
      <w:pPr>
        <w:pStyle w:val="Heading2"/>
      </w:pPr>
      <w:r>
        <w:rPr>
          <w:rFonts w:ascii="Arial" w:cs="Arial" w:eastAsia="Arial" w:hAnsi="Arial"/>
        </w:rPr>
        <w:t xml:space="preserve">8.2 SSL/TLS</w:t>
      </w:r>
    </w:p>
    <w:p>
      <w:pPr>
        <w:spacing w:after="80"/>
      </w:pPr>
      <w:r>
        <w:rPr>
          <w:rFonts w:ascii="Arial" w:cs="Arial" w:eastAsia="Arial" w:hAnsi="Arial"/>
          <w:b w:val="false"/>
          <w:bCs w:val="false"/>
          <w:i w:val="false"/>
          <w:iCs w:val="false"/>
          <w:sz w:val="20"/>
          <w:szCs w:val="20"/>
        </w:rPr>
        <w:t xml:space="preserve">TLS (Transport Layer Security, Nachfolger von SSL) sichert die Kommunikation zwischen Client und Server. Es arbeitet zwischen der Transport- und Anwendungsschicht und bietet Vertraulichkeit, Integrität und Authentizität.</w:t>
      </w:r>
    </w:p>
    <w:p>
      <w:pPr>
        <w:spacing w:after="40"/>
      </w:pPr>
    </w:p>
    <w:p>
      <w:pPr>
        <w:spacing w:before="160" w:after="80"/>
      </w:pPr>
      <w:r>
        <w:rPr>
          <w:rFonts w:ascii="Arial" w:cs="Arial" w:eastAsia="Arial" w:hAnsi="Arial"/>
          <w:b/>
          <w:bCs/>
          <w:color w:val="1F4E79"/>
          <w:sz w:val="22"/>
          <w:szCs w:val="22"/>
        </w:rPr>
        <w:t xml:space="preserve">TLS-Handshake (vereinfacht)</w:t>
      </w:r>
    </w:p>
    <w:p>
      <w:pPr>
        <w:spacing w:after="80"/>
      </w:pPr>
      <w:r>
        <w:rPr>
          <w:rFonts w:ascii="Arial" w:cs="Arial" w:eastAsia="Arial" w:hAnsi="Arial"/>
          <w:b w:val="false"/>
          <w:bCs w:val="false"/>
          <w:i w:val="false"/>
          <w:iCs w:val="false"/>
          <w:sz w:val="20"/>
          <w:szCs w:val="20"/>
        </w:rPr>
        <w:t xml:space="preserve">1. Client Hello: Client sendet unterstützte TLS-Versionen und Cipher Suites</w:t>
      </w:r>
    </w:p>
    <w:p>
      <w:pPr>
        <w:spacing w:after="80"/>
      </w:pPr>
      <w:r>
        <w:rPr>
          <w:rFonts w:ascii="Arial" w:cs="Arial" w:eastAsia="Arial" w:hAnsi="Arial"/>
          <w:b w:val="false"/>
          <w:bCs w:val="false"/>
          <w:i w:val="false"/>
          <w:iCs w:val="false"/>
          <w:sz w:val="20"/>
          <w:szCs w:val="20"/>
        </w:rPr>
        <w:t xml:space="preserve">2. Server Hello: Server wählt Version/Cipher, sendet sein Zertifikat (enthält öffentlichen Schlüssel)</w:t>
      </w:r>
    </w:p>
    <w:p>
      <w:pPr>
        <w:spacing w:after="80"/>
      </w:pPr>
      <w:r>
        <w:rPr>
          <w:rFonts w:ascii="Arial" w:cs="Arial" w:eastAsia="Arial" w:hAnsi="Arial"/>
          <w:b w:val="false"/>
          <w:bCs w:val="false"/>
          <w:i w:val="false"/>
          <w:iCs w:val="false"/>
          <w:sz w:val="20"/>
          <w:szCs w:val="20"/>
        </w:rPr>
        <w:t xml:space="preserve">3. Schlüsselaustausch: Client prüft Zertifikat, erzeugt Pre-Master Secret, verschlüsselt es mit dem Public Key des Servers</w:t>
      </w:r>
    </w:p>
    <w:p>
      <w:pPr>
        <w:spacing w:after="80"/>
      </w:pPr>
      <w:r>
        <w:rPr>
          <w:rFonts w:ascii="Arial" w:cs="Arial" w:eastAsia="Arial" w:hAnsi="Arial"/>
          <w:b w:val="false"/>
          <w:bCs w:val="false"/>
          <w:i w:val="false"/>
          <w:iCs w:val="false"/>
          <w:sz w:val="20"/>
          <w:szCs w:val="20"/>
        </w:rPr>
        <w:t xml:space="preserve">4. Session Keys: Beide Seiten leiten symmetrische Session Keys ab</w:t>
      </w:r>
    </w:p>
    <w:p>
      <w:pPr>
        <w:spacing w:after="80"/>
      </w:pPr>
      <w:r>
        <w:rPr>
          <w:rFonts w:ascii="Arial" w:cs="Arial" w:eastAsia="Arial" w:hAnsi="Arial"/>
          <w:b w:val="false"/>
          <w:bCs w:val="false"/>
          <w:i w:val="false"/>
          <w:iCs w:val="false"/>
          <w:sz w:val="20"/>
          <w:szCs w:val="20"/>
        </w:rPr>
        <w:t xml:space="preserve">5. Verschlüsselte Kommunikation: Ab jetzt wird symmetrisch verschlüsselt (z. B. AES)</w:t>
      </w:r>
    </w:p>
    <w:p>
      <w:pPr>
        <w:spacing w:after="80"/>
      </w:pPr>
    </w:p>
    <w:p>
      <w:pPr>
        <w:spacing w:before="160" w:after="80"/>
      </w:pPr>
      <w:r>
        <w:rPr>
          <w:rFonts w:ascii="Arial" w:cs="Arial" w:eastAsia="Arial" w:hAnsi="Arial"/>
          <w:b/>
          <w:bCs/>
          <w:color w:val="1F4E79"/>
          <w:sz w:val="22"/>
          <w:szCs w:val="22"/>
        </w:rPr>
        <w:t xml:space="preserve">Kryptografische Verfahren</w:t>
      </w:r>
    </w:p>
    <w:p>
      <w:pPr>
        <w:spacing w:after="80"/>
      </w:pPr>
      <w:r>
        <w:rPr>
          <w:rFonts w:ascii="Arial" w:cs="Arial" w:eastAsia="Arial" w:hAnsi="Arial"/>
          <w:b w:val="false"/>
          <w:bCs w:val="false"/>
          <w:i w:val="false"/>
          <w:iCs w:val="false"/>
          <w:sz w:val="20"/>
          <w:szCs w:val="20"/>
        </w:rPr>
        <w:t xml:space="preserve">Asymmetrisch (für Handshake): RSA, ECDHE – Symmetrisch (für Daten): AES – Hash (für Integrität): SHA-256</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TLS verwendet asymmetrische Verschlüsselung nur für den Schlüsselaustausch. Die eigentliche Kommunikation läuft symmetrisch – das ist schneller!</w:t>
      </w:r>
    </w:p>
    <w:p>
      <w:r>
        <w:br w:type="page"/>
      </w:r>
    </w:p>
    <w:p>
      <w:pPr>
        <w:pStyle w:val="Heading1"/>
      </w:pPr>
      <w:r>
        <w:rPr>
          <w:rFonts w:ascii="Arial" w:cs="Arial" w:eastAsia="Arial" w:hAnsi="Arial"/>
        </w:rPr>
        <w:t xml:space="preserve">9. Firewall &amp; Paketfilter</w:t>
      </w:r>
    </w:p>
    <w:p>
      <w:pPr>
        <w:spacing w:after="80"/>
      </w:pPr>
      <w:r>
        <w:rPr>
          <w:rFonts w:ascii="Arial" w:cs="Arial" w:eastAsia="Arial" w:hAnsi="Arial"/>
          <w:b w:val="false"/>
          <w:bCs w:val="false"/>
          <w:i w:val="false"/>
          <w:iCs w:val="false"/>
          <w:sz w:val="20"/>
          <w:szCs w:val="20"/>
        </w:rPr>
        <w:t xml:space="preserve">Eine Firewall kontrolliert und filtert den Netzwerkverkehr anhand definierter Regeln. Sie schützt Netzwerke vor unautorisiertem Zugriff.</w:t>
      </w:r>
    </w:p>
    <w:p>
      <w:pPr>
        <w:spacing w:after="40"/>
      </w:pPr>
    </w:p>
    <w:p>
      <w:pPr>
        <w:spacing w:before="160" w:after="80"/>
      </w:pPr>
      <w:r>
        <w:rPr>
          <w:rFonts w:ascii="Arial" w:cs="Arial" w:eastAsia="Arial" w:hAnsi="Arial"/>
          <w:b/>
          <w:bCs/>
          <w:color w:val="1F4E79"/>
          <w:sz w:val="22"/>
          <w:szCs w:val="22"/>
        </w:rPr>
        <w:t xml:space="preserve">Firewall-Typen</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2800"/>
        <w:gridCol w:w="2400"/>
        <w:gridCol w:w="4426"/>
      </w:tblGrid>
      <w:tr>
        <w:tc>
          <w:tcPr>
            <w:tcW w:type="dxa" w:w="28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Typ</w:t>
            </w:r>
          </w:p>
        </w:tc>
        <w:tc>
          <w:tcPr>
            <w:tcW w:type="dxa" w:w="24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OSI-Schicht</w:t>
            </w:r>
          </w:p>
        </w:tc>
        <w:tc>
          <w:tcPr>
            <w:tcW w:type="dxa" w:w="4426"/>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Beschreibung</w:t>
            </w:r>
          </w:p>
        </w:tc>
      </w:tr>
      <w:tr>
        <w:tc>
          <w:tcPr>
            <w:tcW w:type="dxa" w:w="28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Paketfilter</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3–4</w:t>
            </w:r>
          </w:p>
        </w:tc>
        <w:tc>
          <w:tcPr>
            <w:tcW w:type="dxa" w:w="44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Filtert nach IP-Adresse, Port, Protokoll. Stateless = prüft jedes Paket einzeln.</w:t>
            </w:r>
          </w:p>
        </w:tc>
      </w:tr>
      <w:tr>
        <w:tc>
          <w:tcPr>
            <w:tcW w:type="dxa" w:w="28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Stateful Inspection</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3–4</w:t>
            </w:r>
          </w:p>
        </w:tc>
        <w:tc>
          <w:tcPr>
            <w:tcW w:type="dxa" w:w="44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Merkt sich den Zustand von Verbindungen. Antwortpakete werden automatisch erlaubt.</w:t>
            </w:r>
          </w:p>
        </w:tc>
      </w:tr>
      <w:tr>
        <w:tc>
          <w:tcPr>
            <w:tcW w:type="dxa" w:w="28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Application Layer Gateway (Proxy)</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7</w:t>
            </w:r>
          </w:p>
        </w:tc>
        <w:tc>
          <w:tcPr>
            <w:tcW w:type="dxa" w:w="44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Prüft Inhalte auf Anwendungsebene (z. B. HTTP-Requests, E-Mail-Anhänge).</w:t>
            </w:r>
          </w:p>
        </w:tc>
      </w:tr>
      <w:tr>
        <w:tc>
          <w:tcPr>
            <w:tcW w:type="dxa" w:w="28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Next-Generation Firewall (NGFW)</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3–7</w:t>
            </w:r>
          </w:p>
        </w:tc>
        <w:tc>
          <w:tcPr>
            <w:tcW w:type="dxa" w:w="44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Kombiniert Paketfilter + Deep Packet Inspection + IDS/IPS + App-Erkennung.</w:t>
            </w:r>
          </w:p>
        </w:tc>
      </w:tr>
    </w:tbl>
    <w:p>
      <w:pPr>
        <w:spacing w:after="80"/>
      </w:pPr>
    </w:p>
    <w:p>
      <w:pPr>
        <w:spacing w:before="160" w:after="80"/>
      </w:pPr>
      <w:r>
        <w:rPr>
          <w:rFonts w:ascii="Arial" w:cs="Arial" w:eastAsia="Arial" w:hAnsi="Arial"/>
          <w:b/>
          <w:bCs/>
          <w:color w:val="1F4E79"/>
          <w:sz w:val="22"/>
          <w:szCs w:val="22"/>
        </w:rPr>
        <w:t xml:space="preserve">Filterstrategien</w:t>
      </w:r>
    </w:p>
    <w:p>
      <w:pPr>
        <w:spacing w:after="80"/>
      </w:pPr>
      <w:r>
        <w:rPr>
          <w:rFonts w:ascii="Arial" w:cs="Arial" w:eastAsia="Arial" w:hAnsi="Arial"/>
          <w:b w:val="false"/>
          <w:bCs w:val="false"/>
          <w:i w:val="false"/>
          <w:iCs w:val="false"/>
          <w:sz w:val="20"/>
          <w:szCs w:val="20"/>
        </w:rPr>
        <w:t xml:space="preserve">Whitelist (Default Deny): Alles ist verboten, nur explizit erlaubte Verbindungen werden zugelassen. → Sicherer, empfohlen für Produktivnetze.</w:t>
      </w:r>
    </w:p>
    <w:p>
      <w:pPr>
        <w:spacing w:after="80"/>
      </w:pPr>
      <w:r>
        <w:rPr>
          <w:rFonts w:ascii="Arial" w:cs="Arial" w:eastAsia="Arial" w:hAnsi="Arial"/>
          <w:b w:val="false"/>
          <w:bCs w:val="false"/>
          <w:i w:val="false"/>
          <w:iCs w:val="false"/>
          <w:sz w:val="20"/>
          <w:szCs w:val="20"/>
        </w:rPr>
        <w:t xml:space="preserve">Blacklist (Default Allow): Alles ist erlaubt, nur explizit verbotene Verbindungen werden blockiert. → Weniger sicher, einfacher einzurichten.</w:t>
      </w:r>
    </w:p>
    <w:p>
      <w:pPr>
        <w:spacing w:after="80"/>
      </w:pPr>
    </w:p>
    <w:p>
      <w:pPr>
        <w:spacing w:before="160" w:after="80"/>
      </w:pPr>
      <w:r>
        <w:rPr>
          <w:rFonts w:ascii="Arial" w:cs="Arial" w:eastAsia="Arial" w:hAnsi="Arial"/>
          <w:b/>
          <w:bCs/>
          <w:color w:val="1F4E79"/>
          <w:sz w:val="22"/>
          <w:szCs w:val="22"/>
        </w:rPr>
        <w:t xml:space="preserve">DMZ (Demilitarized Zone)</w:t>
      </w:r>
    </w:p>
    <w:p>
      <w:pPr>
        <w:spacing w:after="80"/>
      </w:pPr>
      <w:r>
        <w:rPr>
          <w:rFonts w:ascii="Arial" w:cs="Arial" w:eastAsia="Arial" w:hAnsi="Arial"/>
          <w:b w:val="false"/>
          <w:bCs w:val="false"/>
          <w:i w:val="false"/>
          <w:iCs w:val="false"/>
          <w:sz w:val="20"/>
          <w:szCs w:val="20"/>
        </w:rPr>
        <w:t xml:space="preserve">Ein separates Netzwerksegment zwischen internem Netz und Internet. Server, die von außen erreichbar sein müssen (Webserver, Mailserver), stehen in der DMZ. Die DMZ ist durch Firewalls sowohl vom Internet als auch vom internen Netz getrennt.</w:t>
      </w:r>
    </w:p>
    <w:p>
      <w:pPr>
        <w:spacing w:after="80"/>
      </w:pPr>
    </w:p>
    <w:p>
      <w:pPr>
        <w:spacing w:before="160" w:after="80"/>
      </w:pPr>
      <w:r>
        <w:rPr>
          <w:rFonts w:ascii="Arial" w:cs="Arial" w:eastAsia="Arial" w:hAnsi="Arial"/>
          <w:b/>
          <w:bCs/>
          <w:color w:val="1F4E79"/>
          <w:sz w:val="22"/>
          <w:szCs w:val="22"/>
        </w:rPr>
        <w:t xml:space="preserve">Port-Forwarding / NAT</w:t>
      </w:r>
    </w:p>
    <w:p>
      <w:pPr>
        <w:spacing w:after="80"/>
      </w:pPr>
      <w:r>
        <w:rPr>
          <w:rFonts w:ascii="Arial" w:cs="Arial" w:eastAsia="Arial" w:hAnsi="Arial"/>
          <w:b w:val="false"/>
          <w:bCs w:val="false"/>
          <w:i w:val="false"/>
          <w:iCs w:val="false"/>
          <w:sz w:val="20"/>
          <w:szCs w:val="20"/>
        </w:rPr>
        <w:t xml:space="preserve">Port-Forwarding leitet eingehende Verbindungen auf einem bestimmten Port an einen internen Host weiter. NAT (Network Address Translation) übersetzt private IP-Adressen in öffentliche und umgekehrt.</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Whitelist = sicherer als Blacklist. Stateful &gt; Stateless. DMZ hat ZWEI Firewalls (außen und innen). Das sind typische IHK-Fragen!</w:t>
      </w:r>
    </w:p>
    <w:p>
      <w:r>
        <w:br w:type="page"/>
      </w:r>
    </w:p>
    <w:p>
      <w:pPr>
        <w:pStyle w:val="Heading1"/>
      </w:pPr>
      <w:r>
        <w:rPr>
          <w:rFonts w:ascii="Arial" w:cs="Arial" w:eastAsia="Arial" w:hAnsi="Arial"/>
        </w:rPr>
        <w:t xml:space="preserve">10. RAID-Systeme</w:t>
      </w:r>
    </w:p>
    <w:p>
      <w:pPr>
        <w:spacing w:after="80"/>
      </w:pPr>
      <w:r>
        <w:rPr>
          <w:rFonts w:ascii="Arial" w:cs="Arial" w:eastAsia="Arial" w:hAnsi="Arial"/>
          <w:b w:val="false"/>
          <w:bCs w:val="false"/>
          <w:i w:val="false"/>
          <w:iCs w:val="false"/>
          <w:sz w:val="20"/>
          <w:szCs w:val="20"/>
        </w:rPr>
        <w:t xml:space="preserve">RAID (Redundant Array of Independent Disks) verbindet mehrere Festplatten zu einem logischen Laufwerk, um Leistung, Ausfallsicherheit oder beides zu verbessern.</w:t>
      </w:r>
    </w:p>
    <w:p>
      <w:pPr>
        <w:spacing w:after="40"/>
      </w:pP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1100"/>
        <w:gridCol w:w="1200"/>
        <w:gridCol w:w="2200"/>
        <w:gridCol w:w="2400"/>
        <w:gridCol w:w="2726"/>
      </w:tblGrid>
      <w:tr>
        <w:tc>
          <w:tcPr>
            <w:tcW w:type="dxa" w:w="11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RAID</w:t>
            </w:r>
          </w:p>
        </w:tc>
        <w:tc>
          <w:tcPr>
            <w:tcW w:type="dxa" w:w="12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Min. HDD</w:t>
            </w:r>
          </w:p>
        </w:tc>
        <w:tc>
          <w:tcPr>
            <w:tcW w:type="dxa" w:w="22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Verfahren</w:t>
            </w:r>
          </w:p>
        </w:tc>
        <w:tc>
          <w:tcPr>
            <w:tcW w:type="dxa" w:w="24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Kapazität</w:t>
            </w:r>
          </w:p>
        </w:tc>
        <w:tc>
          <w:tcPr>
            <w:tcW w:type="dxa" w:w="2726"/>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Ausfallsicherheit</w:t>
            </w:r>
          </w:p>
        </w:tc>
      </w:tr>
      <w:tr>
        <w:tc>
          <w:tcPr>
            <w:tcW w:type="dxa" w:w="11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RAID 0</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2</w:t>
            </w:r>
          </w:p>
        </w:tc>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Striping (Daten verteilt)</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100% (n × HDD)</w:t>
            </w:r>
          </w:p>
        </w:tc>
        <w:tc>
          <w:tcPr>
            <w:tcW w:type="dxa" w:w="27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Keine! Ein Ausfall = Totalverlust</w:t>
            </w:r>
          </w:p>
        </w:tc>
      </w:tr>
      <w:tr>
        <w:tc>
          <w:tcPr>
            <w:tcW w:type="dxa" w:w="11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RAID 1</w:t>
            </w:r>
          </w:p>
        </w:tc>
        <w:tc>
          <w:tcPr>
            <w:tcW w:type="dxa" w:w="1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2</w:t>
            </w:r>
          </w:p>
        </w:tc>
        <w:tc>
          <w:tcPr>
            <w:tcW w:type="dxa" w:w="2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Mirroring (Spiegelung)</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50% (1 × HDD)</w:t>
            </w:r>
          </w:p>
        </w:tc>
        <w:tc>
          <w:tcPr>
            <w:tcW w:type="dxa" w:w="27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 Platte darf ausfallen</w:t>
            </w:r>
          </w:p>
        </w:tc>
      </w:tr>
      <w:tr>
        <w:tc>
          <w:tcPr>
            <w:tcW w:type="dxa" w:w="11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RAID 5</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3</w:t>
            </w:r>
          </w:p>
        </w:tc>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Striping + verteilte Parität</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(n−1) × HDD</w:t>
            </w:r>
          </w:p>
        </w:tc>
        <w:tc>
          <w:tcPr>
            <w:tcW w:type="dxa" w:w="27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 Platte darf ausfallen</w:t>
            </w:r>
          </w:p>
        </w:tc>
      </w:tr>
      <w:tr>
        <w:tc>
          <w:tcPr>
            <w:tcW w:type="dxa" w:w="11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RAID 6</w:t>
            </w:r>
          </w:p>
        </w:tc>
        <w:tc>
          <w:tcPr>
            <w:tcW w:type="dxa" w:w="1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4</w:t>
            </w:r>
          </w:p>
        </w:tc>
        <w:tc>
          <w:tcPr>
            <w:tcW w:type="dxa" w:w="2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Striping + doppelte Parität</w:t>
            </w:r>
          </w:p>
        </w:tc>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(n−2) × HDD</w:t>
            </w:r>
          </w:p>
        </w:tc>
        <w:tc>
          <w:tcPr>
            <w:tcW w:type="dxa" w:w="27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2 Platten dürfen ausfallen</w:t>
            </w:r>
          </w:p>
        </w:tc>
      </w:tr>
      <w:tr>
        <w:tc>
          <w:tcPr>
            <w:tcW w:type="dxa" w:w="11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RAID 10</w:t>
            </w:r>
          </w:p>
        </w:tc>
        <w:tc>
          <w:tcPr>
            <w:tcW w:type="dxa" w:w="1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4</w:t>
            </w:r>
          </w:p>
        </w:tc>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Mirroring + Striping</w:t>
            </w:r>
          </w:p>
        </w:tc>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50% (n/2 × HDD)</w:t>
            </w:r>
          </w:p>
        </w:tc>
        <w:tc>
          <w:tcPr>
            <w:tcW w:type="dxa" w:w="27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1 pro Spiegel-Paar</w:t>
            </w:r>
          </w:p>
        </w:tc>
      </w:tr>
    </w:tbl>
    <w:p>
      <w:pPr>
        <w:spacing w:after="80"/>
      </w:pPr>
    </w:p>
    <w:p>
      <w:pPr>
        <w:spacing w:before="160" w:after="80"/>
      </w:pPr>
      <w:r>
        <w:rPr>
          <w:rFonts w:ascii="Arial" w:cs="Arial" w:eastAsia="Arial" w:hAnsi="Arial"/>
          <w:b/>
          <w:bCs/>
          <w:color w:val="1F4E79"/>
          <w:sz w:val="22"/>
          <w:szCs w:val="22"/>
        </w:rPr>
        <w:t xml:space="preserve">Rechenbeispiel: 4 Platten à 1 TB</w:t>
      </w:r>
    </w:p>
    <w:p>
      <w:pPr>
        <w:spacing w:after="80"/>
      </w:pPr>
      <w:r>
        <w:rPr>
          <w:rFonts w:ascii="Arial" w:cs="Arial" w:eastAsia="Arial" w:hAnsi="Arial"/>
          <w:b w:val="false"/>
          <w:bCs w:val="false"/>
          <w:i w:val="false"/>
          <w:iCs w:val="false"/>
          <w:sz w:val="20"/>
          <w:szCs w:val="20"/>
        </w:rPr>
        <w:t xml:space="preserve">RAID 0: 4 TB (keine Redundanz) – RAID 1: 1 TB (2 Spiegel-Paare wären 2 TB gesamt, aber klassisch 2 Platten = 1 TB) – RAID 5: 3 TB – RAID 6: 2 TB – RAID 10: 2 TB</w:t>
      </w:r>
    </w:p>
    <w:p>
      <w:pPr>
        <w:spacing w:after="80"/>
      </w:pPr>
    </w:p>
    <w:p>
      <w:pPr>
        <w:spacing w:before="160" w:after="80"/>
      </w:pPr>
      <w:r>
        <w:rPr>
          <w:rFonts w:ascii="Arial" w:cs="Arial" w:eastAsia="Arial" w:hAnsi="Arial"/>
          <w:b/>
          <w:bCs/>
          <w:color w:val="1F4E79"/>
          <w:sz w:val="22"/>
          <w:szCs w:val="22"/>
        </w:rPr>
        <w:t xml:space="preserve">Hardware-RAID vs. Software-RAID</w:t>
      </w:r>
    </w:p>
    <w:p>
      <w:pPr>
        <w:spacing w:after="80"/>
      </w:pPr>
      <w:r>
        <w:rPr>
          <w:rFonts w:ascii="Arial" w:cs="Arial" w:eastAsia="Arial" w:hAnsi="Arial"/>
          <w:b w:val="false"/>
          <w:bCs w:val="false"/>
          <w:i w:val="false"/>
          <w:iCs w:val="false"/>
          <w:sz w:val="20"/>
          <w:szCs w:val="20"/>
        </w:rPr>
        <w:t xml:space="preserve">Hardware-RAID: Eigener Controller mit Cache und Batterie-Backup (BBU). Schneller, unabhängig vom Betriebssystem. Teurer.</w:t>
      </w:r>
    </w:p>
    <w:p>
      <w:pPr>
        <w:spacing w:after="80"/>
      </w:pPr>
      <w:r>
        <w:rPr>
          <w:rFonts w:ascii="Arial" w:cs="Arial" w:eastAsia="Arial" w:hAnsi="Arial"/>
          <w:b w:val="false"/>
          <w:bCs w:val="false"/>
          <w:i w:val="false"/>
          <w:iCs w:val="false"/>
          <w:sz w:val="20"/>
          <w:szCs w:val="20"/>
        </w:rPr>
        <w:t xml:space="preserve">Software-RAID: Vom Betriebssystem verwaltet. Günstiger, aber CPU-Last und abhängig vom OS.</w:t>
      </w:r>
    </w:p>
    <w:p>
      <w:pPr>
        <w:pBdr>
          <w:left w:val="single" w:color="FF9800" w:sz="12" w:space="8"/>
        </w:pBdr>
        <w:shd w:fill="FFF3E0" w:val="clear"/>
        <w:spacing w:before="80" w:after="80"/>
        <w:ind w:left="200"/>
      </w:pPr>
      <w:r>
        <w:rPr>
          <w:rFonts w:ascii="Arial" w:cs="Arial" w:eastAsia="Arial" w:hAnsi="Arial"/>
          <w:b/>
          <w:bCs/>
          <w:color w:val="E65100"/>
          <w:sz w:val="18"/>
          <w:szCs w:val="18"/>
        </w:rPr>
        <w:t xml:space="preserve">⚠ Achtung: </w:t>
      </w:r>
      <w:r>
        <w:rPr>
          <w:rFonts w:ascii="Arial" w:cs="Arial" w:eastAsia="Arial" w:hAnsi="Arial"/>
          <w:sz w:val="18"/>
          <w:szCs w:val="18"/>
        </w:rPr>
        <w:t xml:space="preserve">RAID ersetzt KEIN Backup! RAID schützt vor Hardwareausfall, nicht vor versehentlichem Löschen, Viren oder Feuer.</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In der IHK-Prüfung: RAID 0 = schnell aber unsicher, RAID 1 = sicher aber teuer, RAID 5 = guter Kompromiss. Kapazitätsberechnung muss sitzen!</w:t>
      </w:r>
    </w:p>
    <w:p>
      <w:r>
        <w:br w:type="page"/>
      </w:r>
    </w:p>
    <w:p>
      <w:pPr>
        <w:pStyle w:val="Heading1"/>
      </w:pPr>
      <w:r>
        <w:rPr>
          <w:rFonts w:ascii="Arial" w:cs="Arial" w:eastAsia="Arial" w:hAnsi="Arial"/>
        </w:rPr>
        <w:t xml:space="preserve">11. Backup-Strategien</w:t>
      </w:r>
    </w:p>
    <w:p>
      <w:pPr>
        <w:spacing w:after="80"/>
      </w:pPr>
      <w:r>
        <w:rPr>
          <w:rFonts w:ascii="Arial" w:cs="Arial" w:eastAsia="Arial" w:hAnsi="Arial"/>
          <w:b w:val="false"/>
          <w:bCs w:val="false"/>
          <w:i w:val="false"/>
          <w:iCs w:val="false"/>
          <w:sz w:val="20"/>
          <w:szCs w:val="20"/>
        </w:rPr>
        <w:t xml:space="preserve">Datensicherung schützt vor Datenverlust durch Hardwaredefekte, menschliche Fehler, Malware oder Katastrophen.</w:t>
      </w:r>
    </w:p>
    <w:p>
      <w:pPr>
        <w:spacing w:after="40"/>
      </w:pPr>
    </w:p>
    <w:p>
      <w:pPr>
        <w:spacing w:before="160" w:after="80"/>
      </w:pPr>
      <w:r>
        <w:rPr>
          <w:rFonts w:ascii="Arial" w:cs="Arial" w:eastAsia="Arial" w:hAnsi="Arial"/>
          <w:b/>
          <w:bCs/>
          <w:color w:val="1F4E79"/>
          <w:sz w:val="22"/>
          <w:szCs w:val="22"/>
        </w:rPr>
        <w:t xml:space="preserve">Backup-Arten</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2200"/>
        <w:gridCol w:w="3413"/>
        <w:gridCol w:w="4013"/>
      </w:tblGrid>
      <w:tr>
        <w:tc>
          <w:tcPr>
            <w:tcW w:type="dxa" w:w="22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Art</w:t>
            </w:r>
          </w:p>
        </w:tc>
        <w:tc>
          <w:tcPr>
            <w:tcW w:type="dxa" w:w="3413"/>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Beschreibung</w:t>
            </w:r>
          </w:p>
        </w:tc>
        <w:tc>
          <w:tcPr>
            <w:tcW w:type="dxa" w:w="4013"/>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Wiederherstellung</w:t>
            </w:r>
          </w:p>
        </w:tc>
      </w:tr>
      <w:tr>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Vollbackup</w:t>
            </w:r>
          </w:p>
        </w:tc>
        <w:tc>
          <w:tcPr>
            <w:tcW w:type="dxa" w:w="34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Sichert alle Daten komplett.</w:t>
            </w:r>
          </w:p>
        </w:tc>
        <w:tc>
          <w:tcPr>
            <w:tcW w:type="dxa" w:w="40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Schnell – nur ein Backup nötig.</w:t>
            </w:r>
          </w:p>
        </w:tc>
      </w:tr>
      <w:tr>
        <w:tc>
          <w:tcPr>
            <w:tcW w:type="dxa" w:w="22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Inkrementell</w:t>
            </w:r>
          </w:p>
        </w:tc>
        <w:tc>
          <w:tcPr>
            <w:tcW w:type="dxa" w:w="34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Sichert nur Änderungen seit dem letzten Backup (egal welcher Art).</w:t>
            </w:r>
          </w:p>
        </w:tc>
        <w:tc>
          <w:tcPr>
            <w:tcW w:type="dxa" w:w="40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Langsam – Vollbackup + alle inkrementellen Backups in Reihenfolge.</w:t>
            </w:r>
          </w:p>
        </w:tc>
      </w:tr>
      <w:tr>
        <w:tc>
          <w:tcPr>
            <w:tcW w:type="dxa" w:w="22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Differenziell</w:t>
            </w:r>
          </w:p>
        </w:tc>
        <w:tc>
          <w:tcPr>
            <w:tcW w:type="dxa" w:w="34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Sichert alle Änderungen seit dem letzten Vollbackup.</w:t>
            </w:r>
          </w:p>
        </w:tc>
        <w:tc>
          <w:tcPr>
            <w:tcW w:type="dxa" w:w="40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Mittel – Vollbackup + letztes differenzielles Backup.</w:t>
            </w:r>
          </w:p>
        </w:tc>
      </w:tr>
    </w:tbl>
    <w:p>
      <w:pPr>
        <w:spacing w:after="80"/>
      </w:pPr>
    </w:p>
    <w:p>
      <w:pPr>
        <w:spacing w:before="160" w:after="80"/>
      </w:pPr>
      <w:r>
        <w:rPr>
          <w:rFonts w:ascii="Arial" w:cs="Arial" w:eastAsia="Arial" w:hAnsi="Arial"/>
          <w:b/>
          <w:bCs/>
          <w:color w:val="1F4E79"/>
          <w:sz w:val="22"/>
          <w:szCs w:val="22"/>
        </w:rPr>
        <w:t xml:space="preserve">Backup-Strategie: Großvater-Vater-Sohn (GVS)</w:t>
      </w:r>
    </w:p>
    <w:p>
      <w:pPr>
        <w:spacing w:after="80"/>
      </w:pPr>
      <w:r>
        <w:rPr>
          <w:rFonts w:ascii="Arial" w:cs="Arial" w:eastAsia="Arial" w:hAnsi="Arial"/>
          <w:b w:val="false"/>
          <w:bCs w:val="false"/>
          <w:i w:val="false"/>
          <w:iCs w:val="false"/>
          <w:sz w:val="20"/>
          <w:szCs w:val="20"/>
        </w:rPr>
        <w:t xml:space="preserve">Sohn: Tägliches Backup (Mo–Fr) – Vater: Wöchentliches Backup (z. B. freitags) – Großvater: Monatliches Backup. Verschiedene Generationen werden rotierend aufbewahrt.</w:t>
      </w:r>
    </w:p>
    <w:p>
      <w:pPr>
        <w:spacing w:after="80"/>
      </w:pPr>
    </w:p>
    <w:p>
      <w:pPr>
        <w:spacing w:before="160" w:after="80"/>
      </w:pPr>
      <w:r>
        <w:rPr>
          <w:rFonts w:ascii="Arial" w:cs="Arial" w:eastAsia="Arial" w:hAnsi="Arial"/>
          <w:b/>
          <w:bCs/>
          <w:color w:val="1F4E79"/>
          <w:sz w:val="22"/>
          <w:szCs w:val="22"/>
        </w:rPr>
        <w:t xml:space="preserve">3-2-1-Regel</w:t>
      </w:r>
    </w:p>
    <w:p>
      <w:pPr>
        <w:spacing w:after="80"/>
      </w:pPr>
      <w:r>
        <w:rPr>
          <w:rFonts w:ascii="Arial" w:cs="Arial" w:eastAsia="Arial" w:hAnsi="Arial"/>
          <w:b w:val="false"/>
          <w:bCs w:val="false"/>
          <w:i w:val="false"/>
          <w:iCs w:val="false"/>
          <w:sz w:val="20"/>
          <w:szCs w:val="20"/>
        </w:rPr>
        <w:t xml:space="preserve">3 Kopien der Daten – auf 2 verschiedenen Medientypen – 1 Kopie offsite (an einem anderen Standort)</w:t>
      </w:r>
    </w:p>
    <w:p>
      <w:pPr>
        <w:spacing w:after="80"/>
      </w:pPr>
    </w:p>
    <w:p>
      <w:pPr>
        <w:spacing w:before="160" w:after="80"/>
      </w:pPr>
      <w:r>
        <w:rPr>
          <w:rFonts w:ascii="Arial" w:cs="Arial" w:eastAsia="Arial" w:hAnsi="Arial"/>
          <w:b/>
          <w:bCs/>
          <w:color w:val="1F4E79"/>
          <w:sz w:val="22"/>
          <w:szCs w:val="22"/>
        </w:rPr>
        <w:t xml:space="preserve">Wiederherstellungsbeispiel</w:t>
      </w:r>
    </w:p>
    <w:p>
      <w:pPr>
        <w:spacing w:after="80"/>
      </w:pPr>
      <w:r>
        <w:rPr>
          <w:rFonts w:ascii="Arial" w:cs="Arial" w:eastAsia="Arial" w:hAnsi="Arial"/>
          <w:b/>
          <w:bCs/>
          <w:i w:val="false"/>
          <w:iCs w:val="false"/>
          <w:sz w:val="20"/>
          <w:szCs w:val="20"/>
        </w:rPr>
        <w:t xml:space="preserve">Szenario: Vollbackup am Sonntag, inkrementelle Backups Mo–Mi, Ausfall am Donnerstag.</w:t>
      </w:r>
    </w:p>
    <w:p>
      <w:pPr>
        <w:spacing w:after="80"/>
      </w:pPr>
      <w:r>
        <w:rPr>
          <w:rFonts w:ascii="Arial" w:cs="Arial" w:eastAsia="Arial" w:hAnsi="Arial"/>
          <w:b w:val="false"/>
          <w:bCs w:val="false"/>
          <w:i w:val="false"/>
          <w:iCs w:val="false"/>
          <w:sz w:val="20"/>
          <w:szCs w:val="20"/>
        </w:rPr>
        <w:t xml:space="preserve">Wiederherstellung: 1. Vollbackup (Sonntag) → 2. Inkrement Montag → 3. Inkrement Dienstag → 4. Inkrement Mittwoch</w:t>
      </w:r>
    </w:p>
    <w:p>
      <w:pPr>
        <w:spacing w:after="80"/>
      </w:pPr>
      <w:r>
        <w:rPr>
          <w:rFonts w:ascii="Arial" w:cs="Arial" w:eastAsia="Arial" w:hAnsi="Arial"/>
          <w:b w:val="false"/>
          <w:bCs w:val="false"/>
          <w:i w:val="false"/>
          <w:iCs w:val="false"/>
          <w:sz w:val="20"/>
          <w:szCs w:val="20"/>
        </w:rPr>
        <w:t xml:space="preserve">Bei differenziellem Backup wäre es: 1. Vollbackup (Sonntag) → 2. Differenzielles Backup (Mittwoch) – nur zwei Schritte!</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Inkrementell = schnell sichern, langsam wiederherstellen. Differenziell = mittelschnell sichern, schneller wiederherstellen. Das ist eine Kernfrage!</w:t>
      </w:r>
    </w:p>
    <w:p>
      <w:pPr>
        <w:pBdr>
          <w:left w:val="single" w:color="FF9800" w:sz="12" w:space="8"/>
        </w:pBdr>
        <w:shd w:fill="FFF3E0" w:val="clear"/>
        <w:spacing w:before="80" w:after="80"/>
        <w:ind w:left="200"/>
      </w:pPr>
      <w:r>
        <w:rPr>
          <w:rFonts w:ascii="Arial" w:cs="Arial" w:eastAsia="Arial" w:hAnsi="Arial"/>
          <w:b/>
          <w:bCs/>
          <w:color w:val="E65100"/>
          <w:sz w:val="18"/>
          <w:szCs w:val="18"/>
        </w:rPr>
        <w:t xml:space="preserve">⚠ Achtung: </w:t>
      </w:r>
      <w:r>
        <w:rPr>
          <w:rFonts w:ascii="Arial" w:cs="Arial" w:eastAsia="Arial" w:hAnsi="Arial"/>
          <w:sz w:val="18"/>
          <w:szCs w:val="18"/>
        </w:rPr>
        <w:t xml:space="preserve">RPO (Recovery Point Objective) = wie viel Datenverlust akzeptabel. RTO (Recovery Time Objective) = wie schnell muss wiederhergestellt werden.</w:t>
      </w:r>
    </w:p>
    <w:p>
      <w:r>
        <w:br w:type="page"/>
      </w:r>
    </w:p>
    <w:p>
      <w:pPr>
        <w:pStyle w:val="Heading1"/>
      </w:pPr>
      <w:r>
        <w:rPr>
          <w:rFonts w:ascii="Arial" w:cs="Arial" w:eastAsia="Arial" w:hAnsi="Arial"/>
        </w:rPr>
        <w:t xml:space="preserve">12. USV (Unterbrechungsfreie Stromversorgung)</w:t>
      </w:r>
    </w:p>
    <w:p>
      <w:pPr>
        <w:spacing w:after="80"/>
      </w:pPr>
      <w:r>
        <w:rPr>
          <w:rFonts w:ascii="Arial" w:cs="Arial" w:eastAsia="Arial" w:hAnsi="Arial"/>
          <w:b w:val="false"/>
          <w:bCs w:val="false"/>
          <w:i w:val="false"/>
          <w:iCs w:val="false"/>
          <w:sz w:val="20"/>
          <w:szCs w:val="20"/>
        </w:rPr>
        <w:t xml:space="preserve">Eine USV schützt IT-Systeme vor Stromausfällen, Spannungsschwankungen und -spitzen. Sie überbrückt Stromausfälle und ermöglicht ein kontrolliertes Herunterfahren.</w:t>
      </w:r>
    </w:p>
    <w:p>
      <w:pPr>
        <w:spacing w:after="40"/>
      </w:pPr>
    </w:p>
    <w:p>
      <w:pPr>
        <w:spacing w:before="160" w:after="80"/>
      </w:pPr>
      <w:r>
        <w:rPr>
          <w:rFonts w:ascii="Arial" w:cs="Arial" w:eastAsia="Arial" w:hAnsi="Arial"/>
          <w:b/>
          <w:bCs/>
          <w:color w:val="1F4E79"/>
          <w:sz w:val="22"/>
          <w:szCs w:val="22"/>
        </w:rPr>
        <w:t xml:space="preserve">USV-Typen</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2600"/>
        <w:gridCol w:w="1400"/>
        <w:gridCol w:w="5626"/>
      </w:tblGrid>
      <w:tr>
        <w:tc>
          <w:tcPr>
            <w:tcW w:type="dxa" w:w="26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Typ</w:t>
            </w:r>
          </w:p>
        </w:tc>
        <w:tc>
          <w:tcPr>
            <w:tcW w:type="dxa" w:w="14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Klasse</w:t>
            </w:r>
          </w:p>
        </w:tc>
        <w:tc>
          <w:tcPr>
            <w:tcW w:type="dxa" w:w="5626"/>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Beschreibung</w:t>
            </w:r>
          </w:p>
        </w:tc>
      </w:tr>
      <w:tr>
        <w:tc>
          <w:tcPr>
            <w:tcW w:type="dxa" w:w="2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Offline / Standby</w:t>
            </w:r>
          </w:p>
        </w:tc>
        <w:tc>
          <w:tcPr>
            <w:tcW w:type="dxa" w:w="1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VFD</w:t>
            </w:r>
          </w:p>
        </w:tc>
        <w:tc>
          <w:tcPr>
            <w:tcW w:type="dxa" w:w="56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Schaltet bei Stromausfall auf Batterie um. Umschaltzeit 2–10 ms. Günstig, für unkritische Geräte.</w:t>
            </w:r>
          </w:p>
        </w:tc>
      </w:tr>
      <w:tr>
        <w:tc>
          <w:tcPr>
            <w:tcW w:type="dxa" w:w="2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Line-Interactive</w:t>
            </w:r>
          </w:p>
        </w:tc>
        <w:tc>
          <w:tcPr>
            <w:tcW w:type="dxa" w:w="1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VI</w:t>
            </w:r>
          </w:p>
        </w:tc>
        <w:tc>
          <w:tcPr>
            <w:tcW w:type="dxa" w:w="56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Hat einen AVR (Automatic Voltage Regulator), der kleinere Spannungsschwankungen ohne Batterieumschaltung ausgleicht. Umschaltzeit 2–4 ms.</w:t>
            </w:r>
          </w:p>
        </w:tc>
      </w:tr>
      <w:tr>
        <w:tc>
          <w:tcPr>
            <w:tcW w:type="dxa" w:w="2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Online / Doppelwandler</w:t>
            </w:r>
          </w:p>
        </w:tc>
        <w:tc>
          <w:tcPr>
            <w:tcW w:type="dxa" w:w="1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center"/>
            </w:pPr>
            <w:r>
              <w:rPr>
                <w:rFonts w:ascii="Arial" w:cs="Arial" w:eastAsia="Arial" w:hAnsi="Arial"/>
                <w:b w:val="false"/>
                <w:bCs w:val="false"/>
                <w:sz w:val="18"/>
                <w:szCs w:val="18"/>
              </w:rPr>
              <w:t xml:space="preserve">VFI</w:t>
            </w:r>
          </w:p>
        </w:tc>
        <w:tc>
          <w:tcPr>
            <w:tcW w:type="dxa" w:w="56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Versorgt Geräte ständig über den Wechselrichter (Inverter). Keine Umschaltzeit (0 ms). Beste Qualität, für Server und kritische Systeme.</w:t>
            </w:r>
          </w:p>
        </w:tc>
      </w:tr>
    </w:tbl>
    <w:p>
      <w:pPr>
        <w:spacing w:after="80"/>
      </w:pPr>
    </w:p>
    <w:p>
      <w:pPr>
        <w:spacing w:before="160" w:after="80"/>
      </w:pPr>
      <w:r>
        <w:rPr>
          <w:rFonts w:ascii="Arial" w:cs="Arial" w:eastAsia="Arial" w:hAnsi="Arial"/>
          <w:b/>
          <w:bCs/>
          <w:color w:val="1F4E79"/>
          <w:sz w:val="22"/>
          <w:szCs w:val="22"/>
        </w:rPr>
        <w:t xml:space="preserve">Wichtige Begriffe</w:t>
      </w:r>
    </w:p>
    <w:p>
      <w:pPr>
        <w:spacing w:after="80"/>
      </w:pPr>
      <w:r>
        <w:rPr>
          <w:rFonts w:ascii="Arial" w:cs="Arial" w:eastAsia="Arial" w:hAnsi="Arial"/>
          <w:b w:val="false"/>
          <w:bCs w:val="false"/>
          <w:i w:val="false"/>
          <w:iCs w:val="false"/>
          <w:sz w:val="20"/>
          <w:szCs w:val="20"/>
        </w:rPr>
        <w:t xml:space="preserve">VA (Voltampere): Scheinleistung der USV. Watt: Wirkleistung (ca. 60–70% der VA). Autonomiezeit: Wie lange die USV bei Stromausfall überbrücken kann. Abhängig von Batteriekapazität und angeschlossener Last.</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Online-USV (VFI) = beste Qualität mit 0 ms Umschaltzeit. Line-Interactive (VI) = guter Kompromiss. Offline (VFD) = nur Grundschutz.</w:t>
      </w:r>
    </w:p>
    <w:p>
      <w:r>
        <w:br w:type="page"/>
      </w:r>
    </w:p>
    <w:p>
      <w:pPr>
        <w:pStyle w:val="Heading1"/>
      </w:pPr>
      <w:r>
        <w:rPr>
          <w:rFonts w:ascii="Arial" w:cs="Arial" w:eastAsia="Arial" w:hAnsi="Arial"/>
        </w:rPr>
        <w:t xml:space="preserve">13. Virtualisierung</w:t>
      </w:r>
    </w:p>
    <w:p>
      <w:pPr>
        <w:spacing w:after="80"/>
      </w:pPr>
      <w:r>
        <w:rPr>
          <w:rFonts w:ascii="Arial" w:cs="Arial" w:eastAsia="Arial" w:hAnsi="Arial"/>
          <w:b w:val="false"/>
          <w:bCs w:val="false"/>
          <w:i w:val="false"/>
          <w:iCs w:val="false"/>
          <w:sz w:val="20"/>
          <w:szCs w:val="20"/>
        </w:rPr>
        <w:t xml:space="preserve">Virtualisierung ermöglicht den Betrieb mehrerer virtueller Maschinen (VMs) auf einem physischen Host. Ein Hypervisor abstrahiert die Hardware und teilt Ressourcen zu.</w:t>
      </w:r>
    </w:p>
    <w:p>
      <w:pPr>
        <w:spacing w:after="40"/>
      </w:pPr>
    </w:p>
    <w:p>
      <w:pPr>
        <w:spacing w:before="160" w:after="80"/>
      </w:pPr>
      <w:r>
        <w:rPr>
          <w:rFonts w:ascii="Arial" w:cs="Arial" w:eastAsia="Arial" w:hAnsi="Arial"/>
          <w:b/>
          <w:bCs/>
          <w:color w:val="1F4E79"/>
          <w:sz w:val="22"/>
          <w:szCs w:val="22"/>
        </w:rPr>
        <w:t xml:space="preserve">Hypervisor-Typen</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2400"/>
        <w:gridCol w:w="3613"/>
        <w:gridCol w:w="3613"/>
      </w:tblGrid>
      <w:tr>
        <w:tc>
          <w:tcPr>
            <w:tcW w:type="dxa" w:w="24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
            </w:r>
          </w:p>
        </w:tc>
        <w:tc>
          <w:tcPr>
            <w:tcW w:type="dxa" w:w="3613"/>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Typ 1 (Bare Metal)</w:t>
            </w:r>
          </w:p>
        </w:tc>
        <w:tc>
          <w:tcPr>
            <w:tcW w:type="dxa" w:w="3613"/>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Typ 2 (Hosted)</w:t>
            </w:r>
          </w:p>
        </w:tc>
      </w:tr>
      <w:tr>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Installation</w:t>
            </w:r>
          </w:p>
        </w:tc>
        <w:tc>
          <w:tcPr>
            <w:tcW w:type="dxa" w:w="36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Direkt auf Hardware</w:t>
            </w:r>
          </w:p>
        </w:tc>
        <w:tc>
          <w:tcPr>
            <w:tcW w:type="dxa" w:w="36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Auf einem Betriebssystem</w:t>
            </w:r>
          </w:p>
        </w:tc>
      </w:tr>
      <w:tr>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Performance</w:t>
            </w:r>
          </w:p>
        </w:tc>
        <w:tc>
          <w:tcPr>
            <w:tcW w:type="dxa" w:w="36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Hoch – direkter Hardwarezugriff</w:t>
            </w:r>
          </w:p>
        </w:tc>
        <w:tc>
          <w:tcPr>
            <w:tcW w:type="dxa" w:w="36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Geringer – OS als Zwischenschicht</w:t>
            </w:r>
          </w:p>
        </w:tc>
      </w:tr>
      <w:tr>
        <w:tc>
          <w:tcPr>
            <w:tcW w:type="dxa" w:w="24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Einsatz</w:t>
            </w:r>
          </w:p>
        </w:tc>
        <w:tc>
          <w:tcPr>
            <w:tcW w:type="dxa" w:w="36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Rechenzentren, Produktivserver</w:t>
            </w:r>
          </w:p>
        </w:tc>
        <w:tc>
          <w:tcPr>
            <w:tcW w:type="dxa" w:w="36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Entwicklung, Tests, Desktop</w:t>
            </w:r>
          </w:p>
        </w:tc>
      </w:tr>
      <w:tr>
        <w:tc>
          <w:tcPr>
            <w:tcW w:type="dxa" w:w="24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Beispiele</w:t>
            </w:r>
          </w:p>
        </w:tc>
        <w:tc>
          <w:tcPr>
            <w:tcW w:type="dxa" w:w="36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VMware ESXi, Microsoft Hyper-V, Proxmox VE, KVM</w:t>
            </w:r>
          </w:p>
        </w:tc>
        <w:tc>
          <w:tcPr>
            <w:tcW w:type="dxa" w:w="36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VMware Workstation, VirtualBox, Parallels</w:t>
            </w:r>
          </w:p>
        </w:tc>
      </w:tr>
    </w:tbl>
    <w:p>
      <w:pPr>
        <w:spacing w:after="80"/>
      </w:pPr>
    </w:p>
    <w:p>
      <w:pPr>
        <w:spacing w:before="160" w:after="80"/>
      </w:pPr>
      <w:r>
        <w:rPr>
          <w:rFonts w:ascii="Arial" w:cs="Arial" w:eastAsia="Arial" w:hAnsi="Arial"/>
          <w:b/>
          <w:bCs/>
          <w:color w:val="1F4E79"/>
          <w:sz w:val="22"/>
          <w:szCs w:val="22"/>
        </w:rPr>
        <w:t xml:space="preserve">Vorteile der Servervirtualisierung</w:t>
      </w:r>
    </w:p>
    <w:p>
      <w:pPr>
        <w:spacing w:after="80"/>
      </w:pPr>
      <w:r>
        <w:rPr>
          <w:rFonts w:ascii="Arial" w:cs="Arial" w:eastAsia="Arial" w:hAnsi="Arial"/>
          <w:b w:val="false"/>
          <w:bCs w:val="false"/>
          <w:i w:val="false"/>
          <w:iCs w:val="false"/>
          <w:sz w:val="20"/>
          <w:szCs w:val="20"/>
        </w:rPr>
        <w:t xml:space="preserve">Bessere Hardwareauslastung (statt vieler wenig ausgelasteter Server). Kostenersparnis (weniger Hardware, Strom, Kühlung, Platz). Schnelle Bereitstellung neuer Server (Klonen, Templates). Einfachere Datensicherung (Snapshots, Live-Migration). Hohe Verfügbarkeit (VMs können zwischen Hosts verschoben werden).</w:t>
      </w:r>
    </w:p>
    <w:p>
      <w:pPr>
        <w:spacing w:after="80"/>
      </w:pPr>
    </w:p>
    <w:p>
      <w:pPr>
        <w:spacing w:before="160" w:after="80"/>
      </w:pPr>
      <w:r>
        <w:rPr>
          <w:rFonts w:ascii="Arial" w:cs="Arial" w:eastAsia="Arial" w:hAnsi="Arial"/>
          <w:b/>
          <w:bCs/>
          <w:color w:val="1F4E79"/>
          <w:sz w:val="22"/>
          <w:szCs w:val="22"/>
        </w:rPr>
        <w:t xml:space="preserve">Container-Virtualisierung (Docker, Podman)</w:t>
      </w:r>
    </w:p>
    <w:p>
      <w:pPr>
        <w:spacing w:after="80"/>
      </w:pPr>
      <w:r>
        <w:rPr>
          <w:rFonts w:ascii="Arial" w:cs="Arial" w:eastAsia="Arial" w:hAnsi="Arial"/>
          <w:b w:val="false"/>
          <w:bCs w:val="false"/>
          <w:i w:val="false"/>
          <w:iCs w:val="false"/>
          <w:sz w:val="20"/>
          <w:szCs w:val="20"/>
        </w:rPr>
        <w:t xml:space="preserve">Container teilen sich den Kernel des Host-Betriebssystems – kein eigenes OS pro Container. Das macht sie deutlich leichtgewichtiger und schneller als VMs. Container isolieren Anwendungen voneinander, sind ideal für Microservices und CI/CD-Pipelines.</w:t>
      </w:r>
    </w:p>
    <w:p>
      <w:pPr>
        <w:spacing w:after="80"/>
      </w:pPr>
    </w:p>
    <w:p>
      <w:pPr>
        <w:spacing w:before="160" w:after="80"/>
      </w:pPr>
      <w:r>
        <w:rPr>
          <w:rFonts w:ascii="Arial" w:cs="Arial" w:eastAsia="Arial" w:hAnsi="Arial"/>
          <w:b/>
          <w:bCs/>
          <w:color w:val="1F4E79"/>
          <w:sz w:val="22"/>
          <w:szCs w:val="22"/>
        </w:rPr>
        <w:t xml:space="preserve">Vergleich VM vs. Container</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2600"/>
        <w:gridCol w:w="3513"/>
        <w:gridCol w:w="3513"/>
      </w:tblGrid>
      <w:tr>
        <w:tc>
          <w:tcPr>
            <w:tcW w:type="dxa" w:w="26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
            </w:r>
          </w:p>
        </w:tc>
        <w:tc>
          <w:tcPr>
            <w:tcW w:type="dxa" w:w="3513"/>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Virtuelle Maschine</w:t>
            </w:r>
          </w:p>
        </w:tc>
        <w:tc>
          <w:tcPr>
            <w:tcW w:type="dxa" w:w="3513"/>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Container</w:t>
            </w:r>
          </w:p>
        </w:tc>
      </w:tr>
      <w:tr>
        <w:tc>
          <w:tcPr>
            <w:tcW w:type="dxa" w:w="2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Betriebssystem</w:t>
            </w:r>
          </w:p>
        </w:tc>
        <w:tc>
          <w:tcPr>
            <w:tcW w:type="dxa" w:w="35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Eigenes OS pro VM</w:t>
            </w:r>
          </w:p>
        </w:tc>
        <w:tc>
          <w:tcPr>
            <w:tcW w:type="dxa" w:w="35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Gemeinsamer Host-Kernel</w:t>
            </w:r>
          </w:p>
        </w:tc>
      </w:tr>
      <w:tr>
        <w:tc>
          <w:tcPr>
            <w:tcW w:type="dxa" w:w="2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Startzeit</w:t>
            </w:r>
          </w:p>
        </w:tc>
        <w:tc>
          <w:tcPr>
            <w:tcW w:type="dxa" w:w="35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Minuten</w:t>
            </w:r>
          </w:p>
        </w:tc>
        <w:tc>
          <w:tcPr>
            <w:tcW w:type="dxa" w:w="35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Sekunden</w:t>
            </w:r>
          </w:p>
        </w:tc>
      </w:tr>
      <w:tr>
        <w:tc>
          <w:tcPr>
            <w:tcW w:type="dxa" w:w="2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Ressourcenverbrauch</w:t>
            </w:r>
          </w:p>
        </w:tc>
        <w:tc>
          <w:tcPr>
            <w:tcW w:type="dxa" w:w="35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Hoch (GB)</w:t>
            </w:r>
          </w:p>
        </w:tc>
        <w:tc>
          <w:tcPr>
            <w:tcW w:type="dxa" w:w="3513"/>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Niedrig (MB)</w:t>
            </w:r>
          </w:p>
        </w:tc>
      </w:tr>
      <w:tr>
        <w:tc>
          <w:tcPr>
            <w:tcW w:type="dxa" w:w="2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Isolation</w:t>
            </w:r>
          </w:p>
        </w:tc>
        <w:tc>
          <w:tcPr>
            <w:tcW w:type="dxa" w:w="35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Stark (Hardware-Ebene)</w:t>
            </w:r>
          </w:p>
        </w:tc>
        <w:tc>
          <w:tcPr>
            <w:tcW w:type="dxa" w:w="3513"/>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Gut (Prozess-Ebene)</w:t>
            </w:r>
          </w:p>
        </w:tc>
      </w:tr>
    </w:tbl>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Typ 1 = direkt auf Hardware (Bare Metal) = Server. Typ 2 = auf OS installiert = Desktop. Container = kein eigenes OS, teilen den Kernel.</w:t>
      </w:r>
    </w:p>
    <w:p>
      <w:r>
        <w:br w:type="page"/>
      </w:r>
    </w:p>
    <w:p>
      <w:pPr>
        <w:pStyle w:val="Heading1"/>
      </w:pPr>
      <w:r>
        <w:rPr>
          <w:rFonts w:ascii="Arial" w:cs="Arial" w:eastAsia="Arial" w:hAnsi="Arial"/>
        </w:rPr>
        <w:t xml:space="preserve">14. Datenmigration</w:t>
      </w:r>
    </w:p>
    <w:p>
      <w:pPr>
        <w:spacing w:after="80"/>
      </w:pPr>
      <w:r>
        <w:rPr>
          <w:rFonts w:ascii="Arial" w:cs="Arial" w:eastAsia="Arial" w:hAnsi="Arial"/>
          <w:b w:val="false"/>
          <w:bCs w:val="false"/>
          <w:i w:val="false"/>
          <w:iCs w:val="false"/>
          <w:sz w:val="20"/>
          <w:szCs w:val="20"/>
        </w:rPr>
        <w:t xml:space="preserve">Datenmigration bezeichnet den Prozess der Übertragung von Daten von einem System, Speicherort oder Format in ein anderes. Typische Anlässe: Serverwechsel, Cloud-Migration, Systemkonsolidierung, Betriebssystem-Upgrade.</w:t>
      </w:r>
    </w:p>
    <w:p>
      <w:pPr>
        <w:spacing w:after="40"/>
      </w:pPr>
    </w:p>
    <w:p>
      <w:pPr>
        <w:spacing w:before="160" w:after="80"/>
      </w:pPr>
      <w:r>
        <w:rPr>
          <w:rFonts w:ascii="Arial" w:cs="Arial" w:eastAsia="Arial" w:hAnsi="Arial"/>
          <w:b/>
          <w:bCs/>
          <w:color w:val="1F4E79"/>
          <w:sz w:val="22"/>
          <w:szCs w:val="22"/>
        </w:rPr>
        <w:t xml:space="preserve">Migrationsstrategien</w:t>
      </w:r>
    </w:p>
    <w:p>
      <w:pPr>
        <w:spacing w:after="80"/>
      </w:pPr>
      <w:r>
        <w:rPr>
          <w:rFonts w:ascii="Arial" w:cs="Arial" w:eastAsia="Arial" w:hAnsi="Arial"/>
          <w:b w:val="false"/>
          <w:bCs w:val="false"/>
          <w:i w:val="false"/>
          <w:iCs w:val="false"/>
          <w:sz w:val="20"/>
          <w:szCs w:val="20"/>
        </w:rPr>
        <w:t xml:space="preserve">Big Bang: Alle Daten werden in einem Zug migriert. Vorteil: Schnell abgeschlossen. Nachteil: Hohes Risiko, längere Ausfallzeit.</w:t>
      </w:r>
    </w:p>
    <w:p>
      <w:pPr>
        <w:spacing w:after="80"/>
      </w:pPr>
      <w:r>
        <w:rPr>
          <w:rFonts w:ascii="Arial" w:cs="Arial" w:eastAsia="Arial" w:hAnsi="Arial"/>
          <w:b w:val="false"/>
          <w:bCs w:val="false"/>
          <w:i w:val="false"/>
          <w:iCs w:val="false"/>
          <w:sz w:val="20"/>
          <w:szCs w:val="20"/>
        </w:rPr>
        <w:t xml:space="preserve">Trickle Migration (phasenweise): Daten werden schrittweise migriert, beide Systeme laufen parallel. Vorteil: Geringeres Risiko, kürzere Ausfallzeiten. Nachteil: Komplexer, länger.</w:t>
      </w:r>
    </w:p>
    <w:p>
      <w:pPr>
        <w:spacing w:after="80"/>
      </w:pPr>
    </w:p>
    <w:p>
      <w:pPr>
        <w:spacing w:before="160" w:after="80"/>
      </w:pPr>
      <w:r>
        <w:rPr>
          <w:rFonts w:ascii="Arial" w:cs="Arial" w:eastAsia="Arial" w:hAnsi="Arial"/>
          <w:b/>
          <w:bCs/>
          <w:color w:val="1F4E79"/>
          <w:sz w:val="22"/>
          <w:szCs w:val="22"/>
        </w:rPr>
        <w:t xml:space="preserve">Risiken und Gegenmaßnahmen</w:t>
      </w:r>
    </w:p>
    <w:tbl>
      <w:tblPr>
        <w:tblW w:type="dxa" w:w="9626"/>
        <w:tblBorders>
          <w:top w:val="single" w:color="auto" w:sz="4"/>
          <w:left w:val="single" w:color="auto" w:sz="4"/>
          <w:bottom w:val="single" w:color="auto" w:sz="4"/>
          <w:right w:val="single" w:color="auto" w:sz="4"/>
          <w:insideH w:val="single" w:color="auto" w:sz="4"/>
          <w:insideV w:val="single" w:color="auto" w:sz="4"/>
        </w:tblBorders>
      </w:tblPr>
      <w:tblGrid>
        <w:gridCol w:w="3600"/>
        <w:gridCol w:w="6026"/>
      </w:tblGrid>
      <w:tr>
        <w:tc>
          <w:tcPr>
            <w:tcW w:type="dxa" w:w="3600"/>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Risiko</w:t>
            </w:r>
          </w:p>
        </w:tc>
        <w:tc>
          <w:tcPr>
            <w:tcW w:type="dxa" w:w="6026"/>
            <w:tcBorders>
              <w:top w:val="single" w:color="BBBBBB" w:sz="1"/>
              <w:left w:val="single" w:color="BBBBBB" w:sz="1"/>
              <w:bottom w:val="single" w:color="BBBBBB" w:sz="1"/>
              <w:right w:val="single" w:color="BBBBBB" w:sz="1"/>
            </w:tcBorders>
            <w:shd w:fill="1F4E79" w:val="clear"/>
            <w:tcMar>
              <w:top w:type="dxa" w:w="60"/>
              <w:left w:type="dxa" w:w="100"/>
              <w:bottom w:type="dxa" w:w="60"/>
              <w:right w:type="dxa" w:w="100"/>
            </w:tcMar>
            <w:vAlign w:val="center"/>
          </w:tcPr>
          <w:p>
            <w:pPr>
              <w:jc w:val="center"/>
            </w:pPr>
            <w:r>
              <w:rPr>
                <w:rFonts w:ascii="Arial" w:cs="Arial" w:eastAsia="Arial" w:hAnsi="Arial"/>
                <w:b/>
                <w:bCs/>
                <w:color w:val="FFFFFF"/>
                <w:sz w:val="18"/>
                <w:szCs w:val="18"/>
              </w:rPr>
              <w:t xml:space="preserve">Gegenmaßnahme</w:t>
            </w:r>
          </w:p>
        </w:tc>
      </w:tr>
      <w:tr>
        <w:tc>
          <w:tcPr>
            <w:tcW w:type="dxa" w:w="3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Datenverlust während der Migration</w:t>
            </w:r>
          </w:p>
        </w:tc>
        <w:tc>
          <w:tcPr>
            <w:tcW w:type="dxa" w:w="60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Vollständiges Backup vor der Migration erstellen</w:t>
            </w:r>
          </w:p>
        </w:tc>
      </w:tr>
      <w:tr>
        <w:tc>
          <w:tcPr>
            <w:tcW w:type="dxa" w:w="3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Inkompatible Datenformate</w:t>
            </w:r>
          </w:p>
        </w:tc>
        <w:tc>
          <w:tcPr>
            <w:tcW w:type="dxa" w:w="60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Testmigration durchführen, Konvertierungstools validieren</w:t>
            </w:r>
          </w:p>
        </w:tc>
      </w:tr>
      <w:tr>
        <w:tc>
          <w:tcPr>
            <w:tcW w:type="dxa" w:w="3600"/>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bCs/>
                <w:sz w:val="18"/>
                <w:szCs w:val="18"/>
              </w:rPr>
              <w:t xml:space="preserve">Ausfallzeiten / Produktivitätsverlust</w:t>
            </w:r>
          </w:p>
        </w:tc>
        <w:tc>
          <w:tcPr>
            <w:tcW w:type="dxa" w:w="6026"/>
            <w:tcBorders>
              <w:top w:val="single" w:color="BBBBBB" w:sz="1"/>
              <w:left w:val="single" w:color="BBBBBB" w:sz="1"/>
              <w:bottom w:val="single" w:color="BBBBBB" w:sz="1"/>
              <w:right w:val="single" w:color="BBBBBB" w:sz="1"/>
            </w:tcBorders>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Migration außerhalb der Geschäftszeiten, Rollback-Plan erstellen</w:t>
            </w:r>
          </w:p>
        </w:tc>
      </w:tr>
      <w:tr>
        <w:tc>
          <w:tcPr>
            <w:tcW w:type="dxa" w:w="3600"/>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bCs/>
                <w:sz w:val="18"/>
                <w:szCs w:val="18"/>
              </w:rPr>
              <w:t xml:space="preserve">Berechtigungsprobleme</w:t>
            </w:r>
          </w:p>
        </w:tc>
        <w:tc>
          <w:tcPr>
            <w:tcW w:type="dxa" w:w="6026"/>
            <w:tcBorders>
              <w:top w:val="single" w:color="BBBBBB" w:sz="1"/>
              <w:left w:val="single" w:color="BBBBBB" w:sz="1"/>
              <w:bottom w:val="single" w:color="BBBBBB" w:sz="1"/>
              <w:right w:val="single" w:color="BBBBBB" w:sz="1"/>
            </w:tcBorders>
            <w:shd w:fill="F2F7FB" w:val="clear"/>
            <w:tcMar>
              <w:top w:type="dxa" w:w="60"/>
              <w:left w:type="dxa" w:w="100"/>
              <w:bottom w:type="dxa" w:w="60"/>
              <w:right w:type="dxa" w:w="100"/>
            </w:tcMar>
            <w:vAlign w:val="center"/>
          </w:tcPr>
          <w:p>
            <w:pPr>
              <w:jc w:val="left"/>
            </w:pPr>
            <w:r>
              <w:rPr>
                <w:rFonts w:ascii="Arial" w:cs="Arial" w:eastAsia="Arial" w:hAnsi="Arial"/>
                <w:b w:val="false"/>
                <w:bCs w:val="false"/>
                <w:sz w:val="18"/>
                <w:szCs w:val="18"/>
              </w:rPr>
              <w:t xml:space="preserve">ACLs und Berechtigungen im Vorfeld dokumentieren und testen</w:t>
            </w:r>
          </w:p>
        </w:tc>
      </w:tr>
    </w:tbl>
    <w:p>
      <w:pPr>
        <w:spacing w:after="80"/>
      </w:pPr>
    </w:p>
    <w:p>
      <w:pPr>
        <w:spacing w:before="160" w:after="80"/>
      </w:pPr>
      <w:r>
        <w:rPr>
          <w:rFonts w:ascii="Arial" w:cs="Arial" w:eastAsia="Arial" w:hAnsi="Arial"/>
          <w:b/>
          <w:bCs/>
          <w:color w:val="1F4E79"/>
          <w:sz w:val="22"/>
          <w:szCs w:val="22"/>
        </w:rPr>
        <w:t xml:space="preserve">Checkliste Datenmigration</w:t>
      </w:r>
    </w:p>
    <w:p>
      <w:pPr>
        <w:spacing w:after="80"/>
      </w:pPr>
      <w:r>
        <w:rPr>
          <w:rFonts w:ascii="Arial" w:cs="Arial" w:eastAsia="Arial" w:hAnsi="Arial"/>
          <w:b w:val="false"/>
          <w:bCs w:val="false"/>
          <w:i w:val="false"/>
          <w:iCs w:val="false"/>
          <w:sz w:val="20"/>
          <w:szCs w:val="20"/>
        </w:rPr>
        <w:t xml:space="preserve">1. Bestandsaufnahme (welche Daten, welche Mengen?) – 2. Backup erstellen – 3. Testmigration durchführen – 4. Migration durchführen – 5. Datenintegrität prüfen (Checksummen) – 6. Funktionstest – 7. Dokumentation</w:t>
      </w:r>
    </w:p>
    <w:p>
      <w:r>
        <w:br w:type="page"/>
      </w:r>
    </w:p>
    <w:p>
      <w:pPr>
        <w:pStyle w:val="Heading1"/>
      </w:pPr>
      <w:r>
        <w:rPr>
          <w:rFonts w:ascii="Arial" w:cs="Arial" w:eastAsia="Arial" w:hAnsi="Arial"/>
        </w:rPr>
        <w:t xml:space="preserve">15. Kernisolation &amp; Sicherheit</w:t>
      </w:r>
    </w:p>
    <w:p>
      <w:pPr>
        <w:pStyle w:val="Heading2"/>
      </w:pPr>
      <w:r>
        <w:rPr>
          <w:rFonts w:ascii="Arial" w:cs="Arial" w:eastAsia="Arial" w:hAnsi="Arial"/>
        </w:rPr>
        <w:t xml:space="preserve">15.1 Kernisolation (Core Isolation)</w:t>
      </w:r>
    </w:p>
    <w:p>
      <w:pPr>
        <w:spacing w:after="80"/>
      </w:pPr>
      <w:r>
        <w:rPr>
          <w:rFonts w:ascii="Arial" w:cs="Arial" w:eastAsia="Arial" w:hAnsi="Arial"/>
          <w:b w:val="false"/>
          <w:bCs w:val="false"/>
          <w:i w:val="false"/>
          <w:iCs w:val="false"/>
          <w:sz w:val="20"/>
          <w:szCs w:val="20"/>
        </w:rPr>
        <w:t xml:space="preserve">Kernisolation ist eine Windows-Sicherheitsfunktion, die kritische Betriebssystemprozesse mithilfe von hardwarebasierter Virtualisierung vom Rest des Systems isoliert. Sie nutzt VBS (Virtualization-Based Security), um einen geschützten Speicherbereich zu schaffen.</w:t>
      </w:r>
    </w:p>
    <w:p>
      <w:pPr>
        <w:spacing w:after="40"/>
      </w:pPr>
    </w:p>
    <w:p>
      <w:pPr>
        <w:spacing w:before="160" w:after="80"/>
      </w:pPr>
      <w:r>
        <w:rPr>
          <w:rFonts w:ascii="Arial" w:cs="Arial" w:eastAsia="Arial" w:hAnsi="Arial"/>
          <w:b/>
          <w:bCs/>
          <w:color w:val="1F4E79"/>
          <w:sz w:val="22"/>
          <w:szCs w:val="22"/>
        </w:rPr>
        <w:t xml:space="preserve">Speicherintegrität (HVCI)</w:t>
      </w:r>
    </w:p>
    <w:p>
      <w:pPr>
        <w:spacing w:after="80"/>
      </w:pPr>
      <w:r>
        <w:rPr>
          <w:rFonts w:ascii="Arial" w:cs="Arial" w:eastAsia="Arial" w:hAnsi="Arial"/>
          <w:b w:val="false"/>
          <w:bCs w:val="false"/>
          <w:i w:val="false"/>
          <w:iCs w:val="false"/>
          <w:sz w:val="20"/>
          <w:szCs w:val="20"/>
        </w:rPr>
        <w:t xml:space="preserve">HVCI (Hypervisor-Protected Code Integrity) ist eine Kernfunktion der Kernisolation. Sie überprüft alle Treiber und Kernel-Code, bevor sie ausgeführt werden. Der Hypervisor stellt sicher, dass nur signierter und vertrauenswürdiger Code im Kernel-Modus läuft. Dadurch wird verhindert, dass Malware schädlichen Code in den Kernel einschleusen kann.</w:t>
      </w:r>
    </w:p>
    <w:p>
      <w:pPr>
        <w:spacing w:after="80"/>
      </w:pPr>
    </w:p>
    <w:p>
      <w:pPr>
        <w:spacing w:before="160" w:after="80"/>
      </w:pPr>
      <w:r>
        <w:rPr>
          <w:rFonts w:ascii="Arial" w:cs="Arial" w:eastAsia="Arial" w:hAnsi="Arial"/>
          <w:b/>
          <w:bCs/>
          <w:color w:val="1F4E79"/>
          <w:sz w:val="22"/>
          <w:szCs w:val="22"/>
        </w:rPr>
        <w:t xml:space="preserve">Voraussetzungen</w:t>
      </w:r>
    </w:p>
    <w:p>
      <w:pPr>
        <w:spacing w:after="80"/>
      </w:pPr>
      <w:r>
        <w:rPr>
          <w:rFonts w:ascii="Arial" w:cs="Arial" w:eastAsia="Arial" w:hAnsi="Arial"/>
          <w:b w:val="false"/>
          <w:bCs w:val="false"/>
          <w:i w:val="false"/>
          <w:iCs w:val="false"/>
          <w:sz w:val="20"/>
          <w:szCs w:val="20"/>
        </w:rPr>
        <w:t xml:space="preserve">TPM 2.0 (Trusted Platform Module), UEFI Secure Boot, Virtualisierungserweiterungen in der CPU (Intel VT-x / AMD-V), kompatible Treiber.</w:t>
      </w:r>
    </w:p>
    <w:p>
      <w:pPr>
        <w:spacing w:after="80"/>
      </w:pPr>
    </w:p>
    <w:p>
      <w:pPr>
        <w:pStyle w:val="Heading2"/>
      </w:pPr>
      <w:r>
        <w:rPr>
          <w:rFonts w:ascii="Arial" w:cs="Arial" w:eastAsia="Arial" w:hAnsi="Arial"/>
        </w:rPr>
        <w:t xml:space="preserve">15.2 Weitere Sicherheitskonzepte</w:t>
      </w:r>
    </w:p>
    <w:p>
      <w:pPr>
        <w:spacing w:before="160" w:after="80"/>
      </w:pPr>
      <w:r>
        <w:rPr>
          <w:rFonts w:ascii="Arial" w:cs="Arial" w:eastAsia="Arial" w:hAnsi="Arial"/>
          <w:b/>
          <w:bCs/>
          <w:color w:val="1F4E79"/>
          <w:sz w:val="22"/>
          <w:szCs w:val="22"/>
        </w:rPr>
        <w:t xml:space="preserve">Defence in Depth (Tiefenverteidigung)</w:t>
      </w:r>
    </w:p>
    <w:p>
      <w:pPr>
        <w:spacing w:after="80"/>
      </w:pPr>
      <w:r>
        <w:rPr>
          <w:rFonts w:ascii="Arial" w:cs="Arial" w:eastAsia="Arial" w:hAnsi="Arial"/>
          <w:b w:val="false"/>
          <w:bCs w:val="false"/>
          <w:i w:val="false"/>
          <w:iCs w:val="false"/>
          <w:sz w:val="20"/>
          <w:szCs w:val="20"/>
        </w:rPr>
        <w:t xml:space="preserve">Mehrere Sicherheitsebenen: Physische Sicherheit → Netzwerksicherheit (Firewall, IDS) → Hostsicherheit (Antivirus, Patches) → Anwendungssicherheit (Eingabevalidierung) → Datensicherheit (Verschlüsselung, Backups)</w:t>
      </w:r>
    </w:p>
    <w:p>
      <w:pPr>
        <w:spacing w:after="80"/>
      </w:pPr>
    </w:p>
    <w:p>
      <w:pPr>
        <w:spacing w:before="160" w:after="80"/>
      </w:pPr>
      <w:r>
        <w:rPr>
          <w:rFonts w:ascii="Arial" w:cs="Arial" w:eastAsia="Arial" w:hAnsi="Arial"/>
          <w:b/>
          <w:bCs/>
          <w:color w:val="1F4E79"/>
          <w:sz w:val="22"/>
          <w:szCs w:val="22"/>
        </w:rPr>
        <w:t xml:space="preserve">Principle of Least Privilege</w:t>
      </w:r>
    </w:p>
    <w:p>
      <w:pPr>
        <w:spacing w:after="80"/>
      </w:pPr>
      <w:r>
        <w:rPr>
          <w:rFonts w:ascii="Arial" w:cs="Arial" w:eastAsia="Arial" w:hAnsi="Arial"/>
          <w:b w:val="false"/>
          <w:bCs w:val="false"/>
          <w:i w:val="false"/>
          <w:iCs w:val="false"/>
          <w:sz w:val="20"/>
          <w:szCs w:val="20"/>
        </w:rPr>
        <w:t xml:space="preserve">Jeder Benutzer und jeder Prozess erhält nur die minimal nötigen Berechtigungen, um seine Aufgabe zu erfüllen. Dadurch wird der mögliche Schaden bei einer Kompromittierung minimiert.</w:t>
      </w:r>
    </w:p>
    <w:p>
      <w:pPr>
        <w:pBdr>
          <w:left w:val="single" w:color="4CAF50" w:sz="12" w:space="8"/>
        </w:pBdr>
        <w:shd w:fill="E8F5E9" w:val="clear"/>
        <w:spacing w:before="80" w:after="80"/>
        <w:ind w:left="200"/>
      </w:pPr>
      <w:r>
        <w:rPr>
          <w:rFonts w:ascii="Arial" w:cs="Arial" w:eastAsia="Arial" w:hAnsi="Arial"/>
          <w:b/>
          <w:bCs/>
          <w:color w:val="2E7D32"/>
          <w:sz w:val="18"/>
          <w:szCs w:val="18"/>
        </w:rPr>
        <w:t xml:space="preserve">✔ IHK-Tipp: </w:t>
      </w:r>
      <w:r>
        <w:rPr>
          <w:rFonts w:ascii="Arial" w:cs="Arial" w:eastAsia="Arial" w:hAnsi="Arial"/>
          <w:sz w:val="18"/>
          <w:szCs w:val="18"/>
        </w:rPr>
        <w:t xml:space="preserve">Kernisolation nutzt hardwarebasierte Virtualisierung (VBS). HVCI prüft Treiber/Code auf Vertrauenswürdigkeit. Beides zusammen = Schutz gegen Kernel-Exploits.</w:t>
      </w:r>
    </w:p>
    <w:p>
      <w:pPr>
        <w:spacing w:after="200"/>
      </w:pPr>
    </w:p>
    <w:p>
      <w:pPr>
        <w:pBdr>
          <w:top w:val="single" w:color="1F4E79" w:sz="6" w:space="8"/>
        </w:pBdr>
        <w:spacing w:before="200" w:after="100"/>
        <w:jc w:val="center"/>
      </w:pPr>
      <w:r>
        <w:rPr>
          <w:rFonts w:ascii="Arial" w:cs="Arial" w:eastAsia="Arial" w:hAnsi="Arial"/>
          <w:b/>
          <w:bCs/>
          <w:i/>
          <w:iCs/>
          <w:color w:val="1F4E79"/>
          <w:sz w:val="26"/>
          <w:szCs w:val="26"/>
        </w:rPr>
        <w:t xml:space="preserve">Viel Erfolg bei der Klausur!</w:t>
      </w:r>
    </w:p>
    <w:sectPr>
      <w:headerReference w:type="default" r:id="rId6"/>
      <w:footerReference w:type="default" r:id="rId7"/>
      <w:pgSz w:w="11906" w:h="16838" w:orient="portrait"/>
      <w:pgMar w:top="1440" w:right="1200" w:bottom="144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999999"/>
        <w:sz w:val="16"/>
        <w:szCs w:val="16"/>
      </w:rPr>
      <w:t xml:space="preserve">Seite </w:t>
    </w:r>
    <w:r>
      <w:rPr>
        <w:rFonts w:ascii="Arial" w:cs="Arial" w:eastAsia="Arial" w:hAnsi="Arial"/>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4" w:space="4"/>
      </w:pBdr>
      <w:tabs>
        <w:tab w:val="right" w:pos="9626"/>
      </w:tabs>
    </w:pPr>
    <w:r>
      <w:rPr>
        <w:rFonts w:ascii="Arial" w:cs="Arial" w:eastAsia="Arial" w:hAnsi="Arial"/>
        <w:color w:val="999999"/>
        <w:sz w:val="16"/>
        <w:szCs w:val="16"/>
      </w:rPr>
      <w:t xml:space="preserve">Lernzettel – Modul J: Netzwerk und Dienste bereitstellen</w:t>
    </w:r>
    <w:r>
      <w:rPr>
        <w:rFonts w:ascii="Arial" w:cs="Arial" w:eastAsia="Arial" w:hAnsi="Arial"/>
        <w:color w:val="999999"/>
        <w:sz w:val="16"/>
        <w:szCs w:val="16"/>
      </w:rPr>
      <w:t xml:space="preserve">	bfw – Unternehmen für Bildung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pBdr>
        <w:bottom w:val="single" w:color="1F4E79" w:sz="6" w:space="4"/>
      </w:pBdr>
      <w:spacing w:before="360" w:after="200"/>
      <w:outlineLvl w:val="0"/>
    </w:pPr>
    <w:rPr>
      <w:rFonts w:ascii="Arial" w:cs="Arial" w:eastAsia="Arial" w:hAnsi="Arial"/>
      <w:b/>
      <w:bCs/>
      <w:color w:val="1F4E79"/>
      <w:sz w:val="36"/>
      <w:szCs w:val="36"/>
    </w:rPr>
  </w:style>
  <w:style w:type="paragraph" w:styleId="Heading2">
    <w:name w:val="Heading 2"/>
    <w:basedOn w:val="Normal"/>
    <w:next w:val="Normal"/>
    <w:qFormat/>
    <w:pPr>
      <w:spacing w:before="240" w:after="160"/>
      <w:outlineLvl w:val="1"/>
    </w:pPr>
    <w:rPr>
      <w:rFonts w:ascii="Arial" w:cs="Arial" w:eastAsia="Arial" w:hAnsi="Arial"/>
      <w:b/>
      <w:bCs/>
      <w:color w:val="2B579A"/>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2026-02-20T08:47:20.722Z</dcterms:created>
  <dcterms:modified xsi:type="dcterms:W3CDTF">2026-02-20T08:47:20.723Z</dcterms:modified>
</cp:coreProperties>
</file>

<file path=docProps/custom.xml><?xml version="1.0" encoding="utf-8"?>
<Properties xmlns="http://schemas.openxmlformats.org/officeDocument/2006/custom-properties" xmlns:vt="http://schemas.openxmlformats.org/officeDocument/2006/docPropsVTypes"/>
</file>