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003366"/>
          <w:sz w:val="44"/>
          <w:szCs w:val="44"/>
        </w:rPr>
        <w:t xml:space="preserve">HANDOUT</w:t>
      </w:r>
    </w:p>
    <w:p>
      <w:pPr>
        <w:spacing w:after="80"/>
        <w:jc w:val="center"/>
      </w:pPr>
      <w:r>
        <w:rPr>
          <w:rFonts w:ascii="Arial" w:cs="Arial" w:eastAsia="Arial" w:hAnsi="Arial"/>
          <w:color w:val="003366"/>
          <w:sz w:val="28"/>
          <w:szCs w:val="28"/>
        </w:rPr>
        <w:t xml:space="preserve">Kaufmännische Grundlagen: Kalkulation, Angebote &amp; Wirtschaftlichkeit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c>
          <w:tcPr>
            <w:tcW w:type="dxa" w:w="3008"/>
            <w:tcBorders>
              <w:top w:val="none" w:sz="0"/>
              <w:left w:val="none" w:sz="0"/>
              <w:bottom w:val="none" w:sz="0"/>
              <w:right w:val="none" w:sz="0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Handelskalkulation</w:t>
            </w:r>
          </w:p>
        </w:tc>
        <w:tc>
          <w:tcPr>
            <w:tcW w:type="dxa" w:w="3009"/>
            <w:tcBorders>
              <w:top w:val="none" w:sz="0"/>
              <w:left w:val="none" w:sz="0"/>
              <w:bottom w:val="none" w:sz="0"/>
              <w:right w:val="none" w:sz="0"/>
            </w:tcBorders>
            <w:shd w:fill="8DB4D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Angebotsvergleich</w:t>
            </w:r>
          </w:p>
        </w:tc>
        <w:tc>
          <w:tcPr>
            <w:tcW w:type="dxa" w:w="3009"/>
            <w:tcBorders>
              <w:top w:val="none" w:sz="0"/>
              <w:left w:val="none" w:sz="0"/>
              <w:bottom w:val="none" w:sz="0"/>
              <w:right w:val="none" w:sz="0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TCO &amp; ROI</w:t>
            </w:r>
          </w:p>
        </w:tc>
      </w:tr>
    </w:tbl>
    <w:p>
      <w:pPr>
        <w:spacing w:after="20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1. Kaufmännische Grundbegriffe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Im IT-Bereich ist kaufmännisches Grundwissen essenziell – von der Angebotserstellung über die Kalkulation bis zur Wirtschaftlichkeitsbetrachtung. Diese Begriffe bilden die Basis.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Umsatz (Erlös)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Einnahmen aus dem Verkauf von Waren/Dienstleistungen (Menge × Preis).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Kosten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Wertmäßiger Verbrauch von Gütern/Dienstleistungen für die betriebliche Leistungserstellung.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Fixkosten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Unabhängig von Auftragslage (z.B. Miete, Gehälter, Versicherungen, Abschreibungen).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Variable Kosten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Abhängig von Produktions-/Auftragsmenge (z.B. Material, Versand, Strom pro Einheit).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Gewinn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Umsatz minus Kosten. Ziel jeder wirtschaftlichen Tätigkeit.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Deckungsbeitrag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Umsatz minus variable Kosten. Zeigt, was zur Deckung der Fixkosten beiträgt.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Abschreibung (AfA)</w:t>
            </w:r>
          </w:p>
        </w:tc>
        <w:tc>
          <w:tcPr>
            <w:tcW w:type="dxa" w:w="6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Wertminderung von Anlagegütern über die Nutzungsdauer verteilt (z.B. Server: 3 Jahre).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1.1 Buchführungsarten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Art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Pflicht für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Einfache Buchf.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Einnahmen-Überschuss-Rechnung (EÜR)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Freiberufler, Kleinunternehmer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Doppelte Buchf.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Soll und Haben, Bilanz + GuV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Kapitalgesellschaften, Kaufleute &gt; 600.000€ Umsatz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2. Handelskalkulation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Die Handelskalkulation beschreibt den Weg vom Listeneinkaufspreis zum Listenverkaufspreis. Sie ist ein Standardthema in der IHK-Prüfung und muss sicher beherrscht werden.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2.1 Kalkulationsschema (Vorwärtskalkulation)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1763"/>
        <w:gridCol w:w="1763"/>
      </w:tblGrid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Position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Berechnung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Listeneinkaufspreis (LEP)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Ausgangswert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1.000,00 €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 Lieferrabatt (z.B. 10%)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 10%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 100,00 €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Zieleinkaufspreis (ZEP)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900,00 €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 Lieferskonto (z.B. 3%)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 3%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– 27,00 €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Bareinkaufspreis (BEP)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873,00 €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Bezugskosten (Fracht, Versicherung)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pauschal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+ 50,00 €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Bezugspreis (Einstandspreis)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923,00 €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Handlungskosten (z.B. 25%)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+ 25%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+ 230,75 €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Selbstkosten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1.153,75 €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Gewinnzuschlag (z.B. 10%)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+ 10%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+ 115,38 €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Barverkaufspreis (BVP)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1.269,13 €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Kundenskonto (z.B. 2%) – im Hundert!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+ 2% i.H.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+ 25,90 €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Zielverkaufspreis (ZVP)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1.295,03 €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Kundenrabatt (z.B. 5%) – im Hundert!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+ 5% i.H.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+ 68,16 €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Listenverkaufspreis netto (LVP)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1.363,19 €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Umsatzsteuer (19%)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+ 19%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+ 259,01 €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Listenverkaufspreis brutto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1.622,20 €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Wichtig: „im Hundert“ vs. „vom Hundert“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Einkauf: Rabatt/Skonto VOM HUNDERT (vom Ausgangswert abziehen)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ZEP = LEP × (1 – Rabattsatz)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Verkauf: Skonto/Rabatt IM HUNDERT (auf den Grundwert aufschlagen)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ZVP = BVP / (1 – Skontosatz)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LVP = ZVP / (1 – Rabattsatz)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Grund: Der Kunde zieht vom LVP ab, nicht vom BVP!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3. Stundensatzkalkulation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Für IT-Dienstleistungen (Beratung, Installation, Support) wird ein Stundensatz kalkuliert. Dieser muss alle Kosten decken und einen Gewinn erwirtschaften.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3.1 Berechnungsschema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1763"/>
        <w:gridCol w:w="1763"/>
      </w:tblGrid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Position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Berechnung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Jahresarbeitstage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365 – WE – FT – Urlaub – Krank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220 Tage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Produktive Stunden/Tag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8h – unproduktiv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6,5 Std.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Produktive Jahresstunden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220 × 6,5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1.430 Std.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Personalkosten/Jahr (inkl. AG-Anteile)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65.000 €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Gemeinkosten (Miete, IT, Verwaltung)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25.000 €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Gesamtkosten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90.000 €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Stundensatz (Selbstkosten)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90.000 / 1.430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62,94 €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Gewinnzuschlag 15%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+ 9,44 €</w:t>
            </w:r>
          </w:p>
        </w:tc>
      </w:tr>
      <w:tr>
        <w:tc>
          <w:tcPr>
            <w:tcW w:type="dxa" w:w="5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= Angebotspreis netto/Std.</w:t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72,38 €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4. Angebotsvergleich bei Beschaffung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Bei der Beschaffung von IT-Systemen müssen Angebote systematisch verglichen werden. Dabei unterscheidet man quantitative (zahlenmäßige) und qualitative (bewertende) Vergleiche.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4.1 Quantitativer Angebotsvergleich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Beim quantitativen Vergleich wird der Bezugspreis (Einstandspreis) verschiedener Anbieter berechnet und verglichen. Es gilt das gleiche Schema wie bei der Einkaufskalkulation.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Schema: Bezugspreis berechnen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  Listeneinkaufspreis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– Rabatt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= Zieleinkaufspreis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– Skonto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= Bareinkaufspreis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+ Bezugskosten (Fracht, Verpackung, Versicherung)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= Bezugspreis (Einstandspreis) ← Vergleichswert!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4.2 Nutzwertanalyse (qualitativ)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Die Nutzwertanalyse (NWA) bewertet Angebote nach mehreren Kriterien, die unterschiedlich gewichtet werden. So können auch nicht-monetäre Faktoren wie Service, Lieferzeit und Qualität berücksichtigt werden.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200"/>
        <w:gridCol w:w="1400"/>
        <w:gridCol w:w="1013"/>
        <w:gridCol w:w="1400"/>
        <w:gridCol w:w="1013"/>
        <w:gridCol w:w="800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Gewicht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Anbieter A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Anbieter B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Preis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40%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8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3,2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6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2,4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Qualität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30%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7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2,1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9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2,7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Lieferzeit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20%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5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1,0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8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1,6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Service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10%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6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0,6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Note: 7</w:t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0,7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SUMME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100%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6,9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7,4</w:t>
            </w:r>
          </w:p>
        </w:tc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06600"/>
                <w:sz w:val="20"/>
                <w:szCs w:val="20"/>
              </w:rPr>
              <w:t xml:space="preserve">← Sieger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Nutzwert berechnen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Teilnutzwert = Gewichtung × Bewertung (Note 1–10)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Gesamtnutzwert = Summe aller Teilnutzwerte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Höchster Nutzwert = bestes Angebot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5. TCO und ROI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5.1 Total Cost of Ownership (TCO)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TCO betrachtet die Gesamtkosten eines IT-Systems über den gesamten Lebenszyklus – nicht nur den Kaufpreis, sondern alle direkten und indirekten Kosten.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Kategorie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Direkte Kosten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Indirekte Kosten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Anschaffung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Hardware, Software, Lizenzen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Planung, Auswahl, Beschaffungsaufwand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Betrieb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Strom, Wartung, Updates, Support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Ausfallzeiten, Produktivitätsverlust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Schulung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Kurse, Zertifizierungen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Arbeitszeit während Schulung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Ende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Entsorgung, Migration, Datenlöschung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Übergangsaufwand, Doppelbetrieb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TCO-Formel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TCO = Anschaffungskosten + Betriebskosten + Schulungskosten + Entsorgungskosten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Beispiel: Server über 5 Jahre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  Anschaffung:   8.000 €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Betrieb/Jahr:  2.400 € × 5 = 12.000 €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  Schulung:      1.500 €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  Entsorgung:      500 €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TCO = 22.000 € (statt nur 8.000 € Kaufpreis!)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5.2 Return on Investment (ROI)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Der ROI misst die Rentabilität einer Investition. Er zeigt, wie viel Gewinn eine Investition im Verhältnis zu den Kosten erwirtschaftet.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7700" w:sz="2"/>
              <w:left w:val="single" w:color="CC7700" w:sz="6"/>
              <w:bottom w:val="single" w:color="CC7700" w:sz="1"/>
              <w:right w:val="single" w:color="CC7700" w:sz="1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8B4513"/>
                <w:sz w:val="22"/>
                <w:szCs w:val="22"/>
              </w:rPr>
              <w:t xml:space="preserve">📝  ROI-Formeln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ROI = (Gewinn / Investitionskosten) × 100%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oder ausführlicher: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ROI = ((Ertrag – Kosten) / Kosten) × 100%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Beispiel: Neue Software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  Investition: 50.000 €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>  Einsparung/Jahr: 20.000 €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Nach 3 Jahren: Ertrag = 60.000 €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ROI = ((60.000 – 50.000) / 50.000) × 100% = 20%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 w:val="false"/>
                <w:bCs w:val="false"/>
                <w:sz w:val="21"/>
                <w:szCs w:val="21"/>
              </w:rPr>
              <w:t xml:space="preserve"/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Amortisationszeit = Investition / jährl. Einsparung</w:t>
            </w:r>
          </w:p>
          <w:p>
            <w:pPr>
              <w:spacing w:after="60"/>
            </w:pPr>
            <w:r>
              <w:rPr>
                <w:rFonts w:ascii="Consolas" w:cs="Consolas" w:eastAsia="Consolas" w:hAnsi="Consolas"/>
                <w:b/>
                <w:bCs/>
                <w:sz w:val="21"/>
                <w:szCs w:val="21"/>
              </w:rPr>
              <w:t xml:space="preserve">  = 50.000 / 20.000 = 2,5 Jahre</w:t>
            </w:r>
          </w:p>
        </w:tc>
      </w:tr>
    </w:tbl>
    <w:p>
      <w:pPr>
        <w:spacing w:after="12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6. Vertragsarten und AGB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Im IT-Geschäft kommen verschiedene Vertragsarten zum Einsatz. Die Kenntnis der wichtigsten Vertragstypen ist für die Beratung und Angebotserstellung relevant.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Vertragsart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 IT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Kaufvertrag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Eigentumsübertragung gegen Geld (§433 BGB)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Kauf eines Servers, PCs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Werkvertrag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Herstellung eines Werkes, Erfolg geschuldet (§631 BGB)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Softwareentwicklung, Website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Dienstvertrag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Tätigkeit geschuldet, kein Erfolg (§611 BGB)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IT-Beratung, Support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Mietvertrag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Gebrauchsüberlassung gegen Entgelt (§535 BGB)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Hardware-Leasing, Cloud-Miete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Lizenzvertrag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Nutzungsrechte an Software/IP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Softwarelizenzen, SaaS-Verträge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SLA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Service Level Agreement – garantierte Leistungsmerkmale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Verfügbarkeit 99,9%, Reaktionszeit 4h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2"/>
              <w:left w:val="single" w:color="003366" w:sz="6"/>
              <w:bottom w:val="single" w:color="8DB4D8" w:sz="1"/>
              <w:right w:val="single" w:color="8DB4D8" w:sz="1"/>
            </w:tcBorders>
            <w:shd w:fill="E8F0F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ℹ️  Lernziel erreicht?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Nach Durcharbeitung dieses Handouts solltest du in der Lage sein: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Kaufmännische Grundbegriffe sicher zu verwenden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Eine Handelskalkulation (vorwärts) vollständig durchzuführen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Den Unterschied „im Hundert“ / „vom Hundert“ zu erklären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Einen Stundensatz zu kalkulieren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Quantitative und qualitative Angebotsvergleiche durchzuführen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TCO und ROI zu berechnen und zu interpretieren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Vertragsarten im IT-Kontext zu unterscheiden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Seite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 |  bfw – Berufsfortbildungswerk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500"/>
      <w:gridCol w:w="2526"/>
    </w:tblGrid>
    <w:tr>
      <w:tc>
        <w:tcPr>
          <w:tcW w:type="dxa" w:w="6500"/>
          <w:tcBorders>
            <w:top w:val="none" w:sz="0"/>
            <w:left w:val="none" w:sz="0"/>
            <w:bottom w:val="single" w:color="003366" w:sz="2"/>
            <w:right w:val="none" w:sz="0"/>
          </w:tcBorders>
          <w:tcMar>
            <w:bottom w:type="dxa" w:w="60"/>
          </w:tcMar>
        </w:tcPr>
        <w:p>
          <w:r>
            <w:rPr>
              <w:rFonts w:ascii="Arial" w:cs="Arial" w:eastAsia="Arial" w:hAnsi="Arial"/>
              <w:b/>
              <w:bCs/>
              <w:color w:val="003366"/>
              <w:sz w:val="20"/>
              <w:szCs w:val="20"/>
            </w:rPr>
            <w:t xml:space="preserve">Handout: Kaufmännische Grundlagen</w:t>
          </w:r>
        </w:p>
      </w:tc>
      <w:tc>
        <w:tcPr>
          <w:tcW w:type="dxa" w:w="2526"/>
          <w:tcBorders>
            <w:top w:val="none" w:sz="0"/>
            <w:left w:val="none" w:sz="0"/>
            <w:bottom w:val="single" w:color="003366" w:sz="2"/>
            <w:right w:val="none" w:sz="0"/>
          </w:tcBorders>
          <w:tcMar>
            <w:bottom w:type="dxa" w:w="60"/>
          </w:tcMar>
        </w:tcPr>
        <w:p>
          <w:pPr>
            <w:jc w:val="right"/>
          </w:pPr>
          <w:r>
            <w:rPr>
              <w:rFonts w:ascii="Arial" w:cs="Arial" w:eastAsia="Arial" w:hAnsi="Arial"/>
              <w:color w:val="003366"/>
              <w:sz w:val="18"/>
              <w:szCs w:val="18"/>
            </w:rPr>
            <w:t xml:space="preserve">Modul B – LF2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rFonts w:ascii="Arial" w:cs="Arial" w:eastAsia="Arial" w:hAnsi="Arial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2026-02-09T08:56:07.126Z</dcterms:created>
  <dcterms:modified xsi:type="dcterms:W3CDTF">2026-02-09T08:56:07.127Z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